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r>
        <w:rPr>
          <w:b/>
          <w:bCs/>
          <w:color w:val="1F3864"/>
          <w:sz w:val="40"/>
          <w:szCs w:val="40"/>
        </w:rPr>
        <w:t xml:space="preserve">Using Skimle for Qualitative Analysis</w:t>
      </w:r>
    </w:p>
    <w:p>
      <w:pPr>
        <w:spacing w:after="240"/>
      </w:pPr>
      <w:r>
        <w:rPr>
          <w:color w:val="595959"/>
          <w:sz w:val="30"/>
          <w:szCs w:val="30"/>
        </w:rPr>
        <w:t xml:space="preserve">A Two-Session Doctoral Course Plan</w:t>
      </w:r>
    </w:p>
    <w:p>
      <w:pPr>
        <w:spacing w:after="120"/>
      </w:pPr>
      <w:r>
        <w:rPr>
          <w:b/>
          <w:bCs/>
          <w:i w:val="false"/>
          <w:iCs w:val="false"/>
        </w:rPr>
        <w:t xml:space="preserve">Level: </w:t>
      </w:r>
      <w:r>
        <w:rPr>
          <w:b w:val="false"/>
          <w:bCs w:val="false"/>
          <w:i w:val="false"/>
          <w:iCs w:val="false"/>
        </w:rPr>
        <w:t xml:space="preserve">PhD / early-career researchers in management and organization studies; adaptable to other social sciences.</w:t>
      </w:r>
    </w:p>
    <w:p>
      <w:pPr>
        <w:spacing w:after="120"/>
      </w:pPr>
      <w:r>
        <w:rPr>
          <w:b/>
          <w:bCs/>
          <w:i w:val="false"/>
          <w:iCs w:val="false"/>
        </w:rPr>
        <w:t xml:space="preserve">Format: </w:t>
      </w:r>
      <w:r>
        <w:rPr>
          <w:b w:val="false"/>
          <w:bCs w:val="false"/>
          <w:i w:val="false"/>
          <w:iCs w:val="false"/>
        </w:rPr>
        <w:t xml:space="preserve">Two 90-minute sessions, one to two weeks apart. Session 1 works as a stand-alone seminar; Session 2 assumes Session 1 and requires laptops and Skimle accounts.</w:t>
      </w:r>
    </w:p>
    <w:p>
      <w:pPr>
        <w:spacing w:after="120"/>
      </w:pPr>
      <w:r>
        <w:rPr>
          <w:b/>
          <w:bCs/>
          <w:i w:val="false"/>
          <w:iCs w:val="false"/>
        </w:rPr>
        <w:t xml:space="preserve">Source material: </w:t>
      </w:r>
      <w:r>
        <w:rPr>
          <w:b w:val="false"/>
          <w:bCs w:val="false"/>
          <w:i w:val="false"/>
          <w:iCs w:val="false"/>
        </w:rPr>
        <w:t xml:space="preserve">Built on the slide decks </w:t>
      </w:r>
      <w:r>
        <w:rPr>
          <w:b/>
          <w:bCs/>
          <w:i w:val="false"/>
          <w:iCs w:val="false"/>
        </w:rPr>
        <w:t xml:space="preserve">Qual Methods Session 1 — Artificial intelligence in qualitative research</w:t>
      </w:r>
      <w:r>
        <w:rPr>
          <w:b w:val="false"/>
          <w:bCs w:val="false"/>
          <w:i w:val="false"/>
          <w:iCs w:val="false"/>
        </w:rPr>
        <w:t xml:space="preserve"> and </w:t>
      </w:r>
      <w:r>
        <w:rPr>
          <w:b/>
          <w:bCs/>
          <w:i w:val="false"/>
          <w:iCs w:val="false"/>
        </w:rPr>
        <w:t xml:space="preserve">Qual Methods Session 2 — Using AI throughout your qualitative study</w:t>
      </w:r>
      <w:r>
        <w:rPr>
          <w:b w:val="false"/>
          <w:bCs w:val="false"/>
          <w:i w:val="false"/>
          <w:iCs w:val="false"/>
        </w:rPr>
        <w:t xml:space="preserve">, prepared by Henri Schildt (Professor of Strategy, Aalto University; CEO &amp; Co-founder, Skimle). Exercise and assessment scaffolding draws on the Skimle doctoral training material (August 2026).</w:t>
      </w:r>
    </w:p>
    <w:p>
      <w:pPr>
        <w:spacing w:after="120"/>
      </w:pPr>
      <w:r>
        <w:rPr>
          <w:b/>
          <w:bCs/>
          <w:i w:val="false"/>
          <w:iCs w:val="false"/>
        </w:rPr>
        <w:t xml:space="preserve">Prepared: </w:t>
      </w:r>
      <w:r>
        <w:rPr>
          <w:b w:val="false"/>
          <w:bCs w:val="false"/>
          <w:i w:val="false"/>
          <w:iCs w:val="false"/>
        </w:rPr>
        <w:t xml:space="preserve">August 2026.</w:t>
      </w:r>
    </w:p>
    <w:p>
      <w:pPr>
        <w:pStyle w:val="Heading2"/>
        <w:spacing w:after="120" w:before="280"/>
      </w:pPr>
      <w:r>
        <w:t xml:space="preserve">How to use this plan</w:t>
      </w:r>
    </w:p>
    <w:p>
      <w:pPr>
        <w:spacing w:after="120"/>
      </w:pPr>
      <w:r>
        <w:rPr>
          <w:b w:val="false"/>
          <w:bCs w:val="false"/>
          <w:i w:val="false"/>
          <w:iCs w:val="false"/>
        </w:rPr>
        <w:t xml:space="preserve">Each session below gives learning objectives, a minute-by-minute plan, condensed lecture content with instructor talking points, two in-class assignments, and one post-session assignment. Timings assume 15–25 participants; if the group is larger, enlarge the small groups rather than cutting the exercises — the exercises carry most of the learning.</w:t>
      </w:r>
    </w:p>
    <w:p>
      <w:pPr>
        <w:spacing w:after="120"/>
      </w:pPr>
      <w:r>
        <w:rPr>
          <w:b w:val="false"/>
          <w:bCs w:val="false"/>
          <w:i w:val="false"/>
          <w:iCs w:val="false"/>
        </w:rPr>
        <w:t xml:space="preserve">The two sessions are deliberately asymmetric. Session 1 is conceptual and can be taught without any software: it establishes what AI can and cannot do in interpretive work, and why that question belongs to a much older conversation about how expert knowledge work is scaffolded. Session 2 is hands-on and tool-based: it walks the qualitative research lifecycle stage by stage and practises the moves in Skimle. The bridge between them is the first post-session assignment, which is unpacked at the start of Session 2.</w:t>
      </w:r>
    </w:p>
    <w:p>
      <w:pPr>
        <w:pStyle w:val="Heading2"/>
        <w:spacing w:after="120" w:before="280"/>
      </w:pPr>
      <w:r>
        <w:t xml:space="preserve">What the instructor needs in advance</w:t>
      </w:r>
    </w:p>
    <w:p>
      <w:pPr>
        <w:pStyle w:val="ListParagraph"/>
        <w:numPr>
          <w:ilvl w:val="0"/>
          <w:numId w:val="1"/>
        </w:numPr>
        <w:spacing w:after="60"/>
      </w:pPr>
      <w:r>
        <w:rPr>
          <w:b/>
          <w:bCs/>
        </w:rPr>
        <w:t xml:space="preserve">Both sessions: </w:t>
      </w:r>
      <w:r>
        <w:rPr>
          <w:b w:val="false"/>
          <w:bCs w:val="false"/>
        </w:rPr>
        <w:t xml:space="preserve">a projector, and the slide decks Qual Methods Session 1 and 2.</w:t>
      </w:r>
    </w:p>
    <w:p>
      <w:pPr>
        <w:pStyle w:val="ListParagraph"/>
        <w:numPr>
          <w:ilvl w:val="0"/>
          <w:numId w:val="1"/>
        </w:numPr>
        <w:spacing w:after="60"/>
      </w:pPr>
      <w:r>
        <w:rPr>
          <w:b/>
          <w:bCs/>
        </w:rPr>
        <w:t xml:space="preserve">Session 1: </w:t>
      </w:r>
      <w:r>
        <w:rPr>
          <w:b w:val="false"/>
          <w:bCs w:val="false"/>
        </w:rPr>
        <w:t xml:space="preserve">printed or shared copies of a two-page excerpt from the Neil Armstrong interview (see Appendix A), plus the prepared AI coding of the same excerpt to reveal after the exercise. No software is required — the session can be taught as a pure seminar, and printing on paper is a defensible choice if the group is worried about putting anything into a tool.</w:t>
      </w:r>
    </w:p>
    <w:p>
      <w:pPr>
        <w:pStyle w:val="ListParagraph"/>
        <w:numPr>
          <w:ilvl w:val="0"/>
          <w:numId w:val="1"/>
        </w:numPr>
        <w:spacing w:after="60"/>
      </w:pPr>
      <w:r>
        <w:rPr>
          <w:b/>
          <w:bCs/>
        </w:rPr>
        <w:t xml:space="preserve">Session 2: </w:t>
      </w:r>
      <w:r>
        <w:rPr>
          <w:b w:val="false"/>
          <w:bCs w:val="false"/>
        </w:rPr>
        <w:t xml:space="preserve">participant laptops, Skimle accounts confirmed working before the session (trial or institutional), and each participant's own Skimle project containing the demo dataset </w:t>
      </w:r>
      <w:r>
        <w:rPr>
          <w:b/>
          <w:bCs/>
        </w:rPr>
        <w:t xml:space="preserve">Consulting demo: Big trouble at BigBank</w:t>
      </w:r>
      <w:r>
        <w:rPr>
          <w:b w:val="false"/>
          <w:bCs w:val="false"/>
        </w:rPr>
        <w:t xml:space="preserve">. Ask participants to create this before class — see Appendix A.</w:t>
      </w:r>
    </w:p>
    <w:p>
      <w:pPr>
        <w:pStyle w:val="ListParagraph"/>
        <w:numPr>
          <w:ilvl w:val="0"/>
          <w:numId w:val="1"/>
        </w:numPr>
        <w:spacing w:after="60"/>
      </w:pPr>
      <w:r>
        <w:rPr>
          <w:b/>
          <w:bCs/>
        </w:rPr>
        <w:t xml:space="preserve">Session 2, instructor account: </w:t>
      </w:r>
      <w:r>
        <w:rPr>
          <w:b w:val="false"/>
          <w:bCs w:val="false"/>
        </w:rPr>
        <w:t xml:space="preserve">your own BigBank project with the focused-coding and Recreate-structure analyses already run, so you can show finished output when a participant's analysis is still queued.</w:t>
      </w:r>
    </w:p>
    <w:p>
      <w:pPr>
        <w:pStyle w:val="Heading2"/>
        <w:spacing w:after="120" w:before="280"/>
      </w:pPr>
      <w:r>
        <w:t xml:space="preserve">Assessment</w:t>
      </w:r>
    </w:p>
    <w:p>
      <w:pPr>
        <w:spacing w:after="120"/>
      </w:pPr>
      <w:r>
        <w:rPr>
          <w:b w:val="false"/>
          <w:bCs w:val="false"/>
          <w:i w:val="false"/>
          <w:iCs w:val="false"/>
        </w:rPr>
        <w:t xml:space="preserve">Each post-session assignment is scoped at 3–5 hours of independent work. If the two sessions are run for credit, the pair supports roughly 1 ECTS by most local conventions. Assignment 1 is a written memo that doubles as the first draft of the participant's own Methods section; Assignment 2 is a small applied analysis presented as three slides.</w:t>
      </w:r>
    </w:p>
    <w:p>
      <w:r>
        <w:br w:type="page"/>
      </w:r>
    </w:p>
    <w:p>
      <w:pPr>
        <w:pStyle w:val="Heading1"/>
        <w:spacing w:after="160" w:before="360"/>
      </w:pPr>
      <w:r>
        <w:t xml:space="preserve">Session 1 — Rethinking qualitative research as knowledge work</w:t>
      </w:r>
    </w:p>
    <w:p>
      <w:pPr>
        <w:spacing w:after="120"/>
      </w:pPr>
      <w:r>
        <w:rPr>
          <w:b w:val="false"/>
          <w:bCs w:val="false"/>
          <w:i/>
          <w:iCs/>
          <w:color w:val="595959"/>
        </w:rPr>
        <w:t xml:space="preserve">Can machines participate in interpretation? What AI changes — and does not change — about qualitative rigour.</w:t>
      </w:r>
    </w:p>
    <w:p>
      <w:pPr>
        <w:pStyle w:val="Heading2"/>
        <w:spacing w:after="120" w:before="280"/>
      </w:pPr>
      <w:r>
        <w:t xml:space="preserve">Learning objectives</w:t>
      </w:r>
    </w:p>
    <w:p>
      <w:pPr>
        <w:spacing w:after="120"/>
      </w:pPr>
      <w:r>
        <w:rPr>
          <w:b w:val="false"/>
          <w:bCs w:val="false"/>
          <w:i w:val="false"/>
          <w:iCs w:val="false"/>
        </w:rPr>
        <w:t xml:space="preserve">By the end of this session, participants can:</w:t>
      </w:r>
    </w:p>
    <w:p>
      <w:pPr>
        <w:pStyle w:val="ListParagraph"/>
        <w:numPr>
          <w:ilvl w:val="0"/>
          <w:numId w:val="2"/>
        </w:numPr>
        <w:spacing w:after="60"/>
      </w:pPr>
      <w:r>
        <w:rPr>
          <w:b w:val="false"/>
          <w:bCs w:val="false"/>
        </w:rPr>
        <w:t xml:space="preserve">State concretely what current AI does well and badly in qualitative analysis, beyond both the hype ("AI replaces analysis") and the dismissal ("AI is for the lazy").</w:t>
      </w:r>
    </w:p>
    <w:p>
      <w:pPr>
        <w:pStyle w:val="ListParagraph"/>
        <w:numPr>
          <w:ilvl w:val="0"/>
          <w:numId w:val="2"/>
        </w:numPr>
        <w:spacing w:after="60"/>
      </w:pPr>
      <w:r>
        <w:rPr>
          <w:b w:val="false"/>
          <w:bCs w:val="false"/>
        </w:rPr>
        <w:t xml:space="preserve">Compare their own coding of an interview passage against a machine coding of the same passage, and articulate where each has the advantage.</w:t>
      </w:r>
    </w:p>
    <w:p>
      <w:pPr>
        <w:pStyle w:val="ListParagraph"/>
        <w:numPr>
          <w:ilvl w:val="0"/>
          <w:numId w:val="2"/>
        </w:numPr>
        <w:spacing w:after="60"/>
      </w:pPr>
      <w:r>
        <w:rPr>
          <w:b w:val="false"/>
          <w:bCs w:val="false"/>
        </w:rPr>
        <w:t xml:space="preserve">Judge when the scale of a corpus makes AI coding sufficient for the research design at hand — and when it is not.</w:t>
      </w:r>
    </w:p>
    <w:p>
      <w:pPr>
        <w:pStyle w:val="ListParagraph"/>
        <w:numPr>
          <w:ilvl w:val="0"/>
          <w:numId w:val="2"/>
        </w:numPr>
        <w:spacing w:after="60"/>
      </w:pPr>
      <w:r>
        <w:rPr>
          <w:b w:val="false"/>
          <w:bCs w:val="false"/>
        </w:rPr>
        <w:t xml:space="preserve">Position AI within the long science-studies tradition of scaffolded expert work, rather than treating it as an unprecedented rupture.</w:t>
      </w:r>
    </w:p>
    <w:p>
      <w:pPr>
        <w:pStyle w:val="ListParagraph"/>
        <w:numPr>
          <w:ilvl w:val="0"/>
          <w:numId w:val="2"/>
        </w:numPr>
        <w:spacing w:after="60"/>
      </w:pPr>
      <w:r>
        <w:rPr>
          <w:b w:val="false"/>
          <w:bCs w:val="false"/>
        </w:rPr>
        <w:t xml:space="preserve">Name the five practical risks — confidentiality, hallucination, sycophancy, black-box output, methodological opacity — and the specific management response to each.</w:t>
      </w:r>
    </w:p>
    <w:p>
      <w:pPr>
        <w:pStyle w:val="ListParagraph"/>
        <w:numPr>
          <w:ilvl w:val="0"/>
          <w:numId w:val="2"/>
        </w:numPr>
        <w:spacing w:after="60"/>
      </w:pPr>
      <w:r>
        <w:rPr>
          <w:b w:val="false"/>
          <w:bCs w:val="false"/>
        </w:rPr>
        <w:t xml:space="preserve">Recognise cognitive surrender as the risk that matters most, and draft a defensible AI-disclosure paragraph for a Methods section.</w:t>
      </w:r>
    </w:p>
    <w:p>
      <w:pPr>
        <w:pStyle w:val="Heading2"/>
        <w:spacing w:after="120" w:before="280"/>
      </w:pPr>
      <w:r>
        <w:t xml:space="preserve">Session plan (90 minutes)</w:t>
      </w:r>
    </w:p>
    <w:tbl>
      <w:tblPr>
        <w:tblW w:type="dxa" w:w="9026"/>
        <w:tblBorders>
          <w:top w:val="single" w:color="BFBFBF" w:sz="4"/>
          <w:left w:val="single" w:color="BFBFBF" w:sz="4"/>
          <w:bottom w:val="single" w:color="BFBFBF" w:sz="4"/>
          <w:right w:val="single" w:color="BFBFBF" w:sz="4"/>
          <w:insideH w:val="single" w:color="D9D9D9" w:sz="2"/>
          <w:insideV w:val="single" w:color="D9D9D9" w:sz="2"/>
        </w:tblBorders>
      </w:tblPr>
      <w:tblGrid>
        <w:gridCol w:w="1400"/>
        <w:gridCol w:w="5626"/>
        <w:gridCol w:w="2000"/>
      </w:tblGrid>
      <w:tr>
        <w:trPr>
          <w:tblHeader/>
        </w:trPr>
        <w:tc>
          <w:tcPr>
            <w:tcW w:type="dxa" w:w="1400"/>
            <w:shd w:fill="E8EDF5" w:color="auto" w:val="clear"/>
            <w:tcMar>
              <w:top w:type="dxa" w:w="60"/>
              <w:left w:type="dxa" w:w="110"/>
              <w:bottom w:type="dxa" w:w="60"/>
              <w:right w:type="dxa" w:w="110"/>
            </w:tcMar>
          </w:tcPr>
          <w:p>
            <w:pPr>
              <w:spacing w:after="0"/>
            </w:pPr>
            <w:r>
              <w:rPr>
                <w:b/>
                <w:bCs/>
                <w:color w:val="1F3864"/>
              </w:rPr>
              <w:t xml:space="preserve">Time</w:t>
            </w:r>
          </w:p>
        </w:tc>
        <w:tc>
          <w:tcPr>
            <w:tcW w:type="dxa" w:w="5626"/>
            <w:shd w:fill="E8EDF5" w:color="auto" w:val="clear"/>
            <w:tcMar>
              <w:top w:type="dxa" w:w="60"/>
              <w:left w:type="dxa" w:w="110"/>
              <w:bottom w:type="dxa" w:w="60"/>
              <w:right w:type="dxa" w:w="110"/>
            </w:tcMar>
          </w:tcPr>
          <w:p>
            <w:pPr>
              <w:spacing w:after="0"/>
            </w:pPr>
            <w:r>
              <w:rPr>
                <w:b/>
                <w:bCs/>
                <w:color w:val="1F3864"/>
              </w:rPr>
              <w:t xml:space="preserve">Segment</w:t>
            </w:r>
          </w:p>
        </w:tc>
        <w:tc>
          <w:tcPr>
            <w:tcW w:type="dxa" w:w="2000"/>
            <w:shd w:fill="E8EDF5" w:color="auto" w:val="clear"/>
            <w:tcMar>
              <w:top w:type="dxa" w:w="60"/>
              <w:left w:type="dxa" w:w="110"/>
              <w:bottom w:type="dxa" w:w="60"/>
              <w:right w:type="dxa" w:w="110"/>
            </w:tcMar>
          </w:tcPr>
          <w:p>
            <w:pPr>
              <w:spacing w:after="0"/>
            </w:pPr>
            <w:r>
              <w:rPr>
                <w:b/>
                <w:bCs/>
                <w:color w:val="1F3864"/>
              </w:rPr>
              <w:t xml:space="preserve">Mode</w:t>
            </w:r>
          </w:p>
        </w:tc>
      </w:tr>
      <w:tr>
        <w:tc>
          <w:tcPr>
            <w:tcW w:type="dxa" w:w="1400"/>
            <w:tcMar>
              <w:top w:type="dxa" w:w="60"/>
              <w:left w:type="dxa" w:w="110"/>
              <w:bottom w:type="dxa" w:w="60"/>
              <w:right w:type="dxa" w:w="110"/>
            </w:tcMar>
          </w:tcPr>
          <w:p>
            <w:pPr>
              <w:spacing w:after="0"/>
            </w:pPr>
            <w:r>
              <w:rPr>
                <w:b w:val="false"/>
                <w:bCs w:val="false"/>
              </w:rPr>
              <w:t xml:space="preserve">0:00–0:10</w:t>
            </w:r>
          </w:p>
        </w:tc>
        <w:tc>
          <w:tcPr>
            <w:tcW w:type="dxa" w:w="5626"/>
            <w:tcMar>
              <w:top w:type="dxa" w:w="60"/>
              <w:left w:type="dxa" w:w="110"/>
              <w:bottom w:type="dxa" w:w="60"/>
              <w:right w:type="dxa" w:w="110"/>
            </w:tcMar>
          </w:tcPr>
          <w:p>
            <w:pPr>
              <w:spacing w:after="0"/>
            </w:pPr>
            <w:r>
              <w:rPr>
                <w:b w:val="false"/>
                <w:bCs w:val="false"/>
              </w:rPr>
              <w:t xml:space="preserve">Opening: AI as the big unknown for knowledge work</w:t>
            </w:r>
          </w:p>
        </w:tc>
        <w:tc>
          <w:tcPr>
            <w:tcW w:type="dxa" w:w="2000"/>
            <w:tcMar>
              <w:top w:type="dxa" w:w="60"/>
              <w:left w:type="dxa" w:w="110"/>
              <w:bottom w:type="dxa" w:w="60"/>
              <w:right w:type="dxa" w:w="110"/>
            </w:tcMar>
          </w:tcPr>
          <w:p>
            <w:pPr>
              <w:spacing w:after="0"/>
            </w:pPr>
            <w:r>
              <w:rPr>
                <w:b w:val="false"/>
                <w:bCs w:val="false"/>
              </w:rPr>
              <w:t xml:space="preserve">Lecture + show of hands</w:t>
            </w:r>
          </w:p>
        </w:tc>
      </w:tr>
      <w:tr>
        <w:tc>
          <w:tcPr>
            <w:tcW w:type="dxa" w:w="1400"/>
            <w:tcMar>
              <w:top w:type="dxa" w:w="60"/>
              <w:left w:type="dxa" w:w="110"/>
              <w:bottom w:type="dxa" w:w="60"/>
              <w:right w:type="dxa" w:w="110"/>
            </w:tcMar>
          </w:tcPr>
          <w:p>
            <w:pPr>
              <w:spacing w:after="0"/>
            </w:pPr>
            <w:r>
              <w:rPr>
                <w:b w:val="false"/>
                <w:bCs w:val="false"/>
              </w:rPr>
              <w:t xml:space="preserve">0:10–0:25</w:t>
            </w:r>
          </w:p>
        </w:tc>
        <w:tc>
          <w:tcPr>
            <w:tcW w:type="dxa" w:w="5626"/>
            <w:tcMar>
              <w:top w:type="dxa" w:w="60"/>
              <w:left w:type="dxa" w:w="110"/>
              <w:bottom w:type="dxa" w:w="60"/>
              <w:right w:type="dxa" w:w="110"/>
            </w:tcMar>
          </w:tcPr>
          <w:p>
            <w:pPr>
              <w:spacing w:after="0"/>
            </w:pPr>
            <w:r>
              <w:rPr>
                <w:b w:val="false"/>
                <w:bCs w:val="false"/>
              </w:rPr>
              <w:t xml:space="preserve">Strengths and weaknesses: tireless and mechanistic; opaque and lacking context</w:t>
            </w:r>
          </w:p>
        </w:tc>
        <w:tc>
          <w:tcPr>
            <w:tcW w:type="dxa" w:w="2000"/>
            <w:tcMar>
              <w:top w:type="dxa" w:w="60"/>
              <w:left w:type="dxa" w:w="110"/>
              <w:bottom w:type="dxa" w:w="60"/>
              <w:right w:type="dxa" w:w="110"/>
            </w:tcMar>
          </w:tcPr>
          <w:p>
            <w:pPr>
              <w:spacing w:after="0"/>
            </w:pPr>
            <w:r>
              <w:rPr>
                <w:b w:val="false"/>
                <w:bCs w:val="false"/>
              </w:rPr>
              <w:t xml:space="preserve">Lecture + discussion</w:t>
            </w:r>
          </w:p>
        </w:tc>
      </w:tr>
      <w:tr>
        <w:tc>
          <w:tcPr>
            <w:tcW w:type="dxa" w:w="1400"/>
            <w:tcMar>
              <w:top w:type="dxa" w:w="60"/>
              <w:left w:type="dxa" w:w="110"/>
              <w:bottom w:type="dxa" w:w="60"/>
              <w:right w:type="dxa" w:w="110"/>
            </w:tcMar>
          </w:tcPr>
          <w:p>
            <w:pPr>
              <w:spacing w:after="0"/>
            </w:pPr>
            <w:r>
              <w:rPr>
                <w:b w:val="false"/>
                <w:bCs w:val="false"/>
              </w:rPr>
              <w:t xml:space="preserve">0:25–0:50</w:t>
            </w:r>
          </w:p>
        </w:tc>
        <w:tc>
          <w:tcPr>
            <w:tcW w:type="dxa" w:w="5626"/>
            <w:tcMar>
              <w:top w:type="dxa" w:w="60"/>
              <w:left w:type="dxa" w:w="110"/>
              <w:bottom w:type="dxa" w:w="60"/>
              <w:right w:type="dxa" w:w="110"/>
            </w:tcMar>
          </w:tcPr>
          <w:p>
            <w:pPr>
              <w:spacing w:after="0"/>
            </w:pPr>
            <w:r>
              <w:rPr>
                <w:b/>
                <w:bCs/>
              </w:rPr>
              <w:t xml:space="preserve">In-class assignment 1.1: Coding Neil Armstrong — human vs. machine</w:t>
            </w:r>
          </w:p>
        </w:tc>
        <w:tc>
          <w:tcPr>
            <w:tcW w:type="dxa" w:w="2000"/>
            <w:tcMar>
              <w:top w:type="dxa" w:w="60"/>
              <w:left w:type="dxa" w:w="110"/>
              <w:bottom w:type="dxa" w:w="60"/>
              <w:right w:type="dxa" w:w="110"/>
            </w:tcMar>
          </w:tcPr>
          <w:p>
            <w:pPr>
              <w:spacing w:after="0"/>
            </w:pPr>
            <w:r>
              <w:rPr>
                <w:b w:val="false"/>
                <w:bCs w:val="false"/>
              </w:rPr>
              <w:t xml:space="preserve">Individual, then groups</w:t>
            </w:r>
          </w:p>
        </w:tc>
      </w:tr>
      <w:tr>
        <w:tc>
          <w:tcPr>
            <w:tcW w:type="dxa" w:w="1400"/>
            <w:tcMar>
              <w:top w:type="dxa" w:w="60"/>
              <w:left w:type="dxa" w:w="110"/>
              <w:bottom w:type="dxa" w:w="60"/>
              <w:right w:type="dxa" w:w="110"/>
            </w:tcMar>
          </w:tcPr>
          <w:p>
            <w:pPr>
              <w:spacing w:after="0"/>
            </w:pPr>
            <w:r>
              <w:rPr>
                <w:b w:val="false"/>
                <w:bCs w:val="false"/>
              </w:rPr>
              <w:t xml:space="preserve">0:50–1:00</w:t>
            </w:r>
          </w:p>
        </w:tc>
        <w:tc>
          <w:tcPr>
            <w:tcW w:type="dxa" w:w="5626"/>
            <w:tcMar>
              <w:top w:type="dxa" w:w="60"/>
              <w:left w:type="dxa" w:w="110"/>
              <w:bottom w:type="dxa" w:w="60"/>
              <w:right w:type="dxa" w:w="110"/>
            </w:tcMar>
          </w:tcPr>
          <w:p>
            <w:pPr>
              <w:spacing w:after="0"/>
            </w:pPr>
            <w:r>
              <w:rPr>
                <w:b w:val="false"/>
                <w:bCs w:val="false"/>
              </w:rPr>
              <w:t xml:space="preserve">Reflection: a law of large numbers in qualitative research?</w:t>
            </w:r>
          </w:p>
        </w:tc>
        <w:tc>
          <w:tcPr>
            <w:tcW w:type="dxa" w:w="2000"/>
            <w:tcMar>
              <w:top w:type="dxa" w:w="60"/>
              <w:left w:type="dxa" w:w="110"/>
              <w:bottom w:type="dxa" w:w="60"/>
              <w:right w:type="dxa" w:w="110"/>
            </w:tcMar>
          </w:tcPr>
          <w:p>
            <w:pPr>
              <w:spacing w:after="0"/>
            </w:pPr>
            <w:r>
              <w:rPr>
                <w:b w:val="false"/>
                <w:bCs w:val="false"/>
              </w:rPr>
              <w:t xml:space="preserve">Discussion</w:t>
            </w:r>
          </w:p>
        </w:tc>
      </w:tr>
      <w:tr>
        <w:tc>
          <w:tcPr>
            <w:tcW w:type="dxa" w:w="1400"/>
            <w:tcMar>
              <w:top w:type="dxa" w:w="60"/>
              <w:left w:type="dxa" w:w="110"/>
              <w:bottom w:type="dxa" w:w="60"/>
              <w:right w:type="dxa" w:w="110"/>
            </w:tcMar>
          </w:tcPr>
          <w:p>
            <w:pPr>
              <w:spacing w:after="0"/>
            </w:pPr>
            <w:r>
              <w:rPr>
                <w:b w:val="false"/>
                <w:bCs w:val="false"/>
              </w:rPr>
              <w:t xml:space="preserve">1:00–1:15</w:t>
            </w:r>
          </w:p>
        </w:tc>
        <w:tc>
          <w:tcPr>
            <w:tcW w:type="dxa" w:w="5626"/>
            <w:tcMar>
              <w:top w:type="dxa" w:w="60"/>
              <w:left w:type="dxa" w:w="110"/>
              <w:bottom w:type="dxa" w:w="60"/>
              <w:right w:type="dxa" w:w="110"/>
            </w:tcMar>
          </w:tcPr>
          <w:p>
            <w:pPr>
              <w:spacing w:after="0"/>
            </w:pPr>
            <w:r>
              <w:rPr>
                <w:b w:val="false"/>
                <w:bCs w:val="false"/>
              </w:rPr>
              <w:t xml:space="preserve">Qualitative research as knowledge work: are we so special?</w:t>
            </w:r>
          </w:p>
        </w:tc>
        <w:tc>
          <w:tcPr>
            <w:tcW w:type="dxa" w:w="2000"/>
            <w:tcMar>
              <w:top w:type="dxa" w:w="60"/>
              <w:left w:type="dxa" w:w="110"/>
              <w:bottom w:type="dxa" w:w="60"/>
              <w:right w:type="dxa" w:w="110"/>
            </w:tcMar>
          </w:tcPr>
          <w:p>
            <w:pPr>
              <w:spacing w:after="0"/>
            </w:pPr>
            <w:r>
              <w:rPr>
                <w:b w:val="false"/>
                <w:bCs w:val="false"/>
              </w:rPr>
              <w:t xml:space="preserve">Lecture</w:t>
            </w:r>
          </w:p>
        </w:tc>
      </w:tr>
      <w:tr>
        <w:tc>
          <w:tcPr>
            <w:tcW w:type="dxa" w:w="1400"/>
            <w:tcMar>
              <w:top w:type="dxa" w:w="60"/>
              <w:left w:type="dxa" w:w="110"/>
              <w:bottom w:type="dxa" w:w="60"/>
              <w:right w:type="dxa" w:w="110"/>
            </w:tcMar>
          </w:tcPr>
          <w:p>
            <w:pPr>
              <w:spacing w:after="0"/>
            </w:pPr>
            <w:r>
              <w:rPr>
                <w:b w:val="false"/>
                <w:bCs w:val="false"/>
              </w:rPr>
              <w:t xml:space="preserve">1:15–1:28</w:t>
            </w:r>
          </w:p>
        </w:tc>
        <w:tc>
          <w:tcPr>
            <w:tcW w:type="dxa" w:w="5626"/>
            <w:tcMar>
              <w:top w:type="dxa" w:w="60"/>
              <w:left w:type="dxa" w:w="110"/>
              <w:bottom w:type="dxa" w:w="60"/>
              <w:right w:type="dxa" w:w="110"/>
            </w:tcMar>
          </w:tcPr>
          <w:p>
            <w:pPr>
              <w:spacing w:after="0"/>
            </w:pPr>
            <w:r>
              <w:rPr>
                <w:b/>
                <w:bCs/>
              </w:rPr>
              <w:t xml:space="preserve">In-class assignment 1.2: The risk map and the Methods paragraph</w:t>
            </w:r>
          </w:p>
        </w:tc>
        <w:tc>
          <w:tcPr>
            <w:tcW w:type="dxa" w:w="2000"/>
            <w:tcMar>
              <w:top w:type="dxa" w:w="60"/>
              <w:left w:type="dxa" w:w="110"/>
              <w:bottom w:type="dxa" w:w="60"/>
              <w:right w:type="dxa" w:w="110"/>
            </w:tcMar>
          </w:tcPr>
          <w:p>
            <w:pPr>
              <w:spacing w:after="0"/>
            </w:pPr>
            <w:r>
              <w:rPr>
                <w:b w:val="false"/>
                <w:bCs w:val="false"/>
              </w:rPr>
              <w:t xml:space="preserve">Groups of 3–4</w:t>
            </w:r>
          </w:p>
        </w:tc>
      </w:tr>
      <w:tr>
        <w:tc>
          <w:tcPr>
            <w:tcW w:type="dxa" w:w="1400"/>
            <w:tcMar>
              <w:top w:type="dxa" w:w="60"/>
              <w:left w:type="dxa" w:w="110"/>
              <w:bottom w:type="dxa" w:w="60"/>
              <w:right w:type="dxa" w:w="110"/>
            </w:tcMar>
          </w:tcPr>
          <w:p>
            <w:pPr>
              <w:spacing w:after="0"/>
            </w:pPr>
            <w:r>
              <w:rPr>
                <w:b w:val="false"/>
                <w:bCs w:val="false"/>
              </w:rPr>
              <w:t xml:space="preserve">1:28–1:30</w:t>
            </w:r>
          </w:p>
        </w:tc>
        <w:tc>
          <w:tcPr>
            <w:tcW w:type="dxa" w:w="5626"/>
            <w:tcMar>
              <w:top w:type="dxa" w:w="60"/>
              <w:left w:type="dxa" w:w="110"/>
              <w:bottom w:type="dxa" w:w="60"/>
              <w:right w:type="dxa" w:w="110"/>
            </w:tcMar>
          </w:tcPr>
          <w:p>
            <w:pPr>
              <w:spacing w:after="0"/>
            </w:pPr>
            <w:r>
              <w:rPr>
                <w:b w:val="false"/>
                <w:bCs w:val="false"/>
              </w:rPr>
              <w:t xml:space="preserve">Wrap-up and home assignment</w:t>
            </w:r>
          </w:p>
        </w:tc>
        <w:tc>
          <w:tcPr>
            <w:tcW w:type="dxa" w:w="2000"/>
            <w:tcMar>
              <w:top w:type="dxa" w:w="60"/>
              <w:left w:type="dxa" w:w="110"/>
              <w:bottom w:type="dxa" w:w="60"/>
              <w:right w:type="dxa" w:w="110"/>
            </w:tcMar>
          </w:tcPr>
          <w:p>
            <w:pPr>
              <w:spacing w:after="0"/>
            </w:pPr>
            <w:r>
              <w:rPr>
                <w:b w:val="false"/>
                <w:bCs w:val="false"/>
              </w:rPr>
              <w:t xml:space="preserve">Lecture</w:t>
            </w:r>
          </w:p>
        </w:tc>
      </w:tr>
    </w:tbl>
    <w:p>
      <w:pPr>
        <w:pStyle w:val="Heading2"/>
        <w:spacing w:after="120" w:before="280"/>
      </w:pPr>
      <w:r>
        <w:t xml:space="preserve">Lecture content and talking points</w:t>
      </w:r>
    </w:p>
    <w:p>
      <w:pPr>
        <w:pStyle w:val="Heading3"/>
        <w:spacing w:after="100" w:before="220"/>
      </w:pPr>
      <w:r>
        <w:t xml:space="preserve">1. Opening: AI as the big unknown (0:00–0:10)</w:t>
      </w:r>
    </w:p>
    <w:p>
      <w:pPr>
        <w:spacing w:after="120"/>
      </w:pPr>
      <w:r>
        <w:rPr>
          <w:b w:val="false"/>
          <w:bCs w:val="false"/>
          <w:i w:val="false"/>
          <w:iCs w:val="false"/>
        </w:rPr>
        <w:t xml:space="preserve">Open with the question rather than an answer: is AI for lazy people? Do you feel bad when you use it? Ask for a show of hands. Many participants, doctoral students especially, describe feeling like cheats when they use AI for writing, and saying so out loud early defuses the defensiveness that otherwise sits under the whole session.</w:t>
      </w:r>
    </w:p>
    <w:p>
      <w:pPr>
        <w:spacing w:after="120"/>
      </w:pPr>
      <w:r>
        <w:rPr>
          <w:b w:val="false"/>
          <w:bCs w:val="false"/>
          <w:i w:val="false"/>
          <w:iCs w:val="false"/>
        </w:rPr>
        <w:t xml:space="preserve">Then put three user archetypes on the board:</w:t>
      </w:r>
    </w:p>
    <w:p>
      <w:pPr>
        <w:pStyle w:val="ListParagraph"/>
        <w:numPr>
          <w:ilvl w:val="0"/>
          <w:numId w:val="1"/>
        </w:numPr>
        <w:spacing w:after="60"/>
      </w:pPr>
      <w:r>
        <w:rPr>
          <w:b/>
          <w:bCs/>
        </w:rPr>
        <w:t xml:space="preserve">"AI slop" — 10% effort, 60% output. </w:t>
      </w:r>
      <w:r>
        <w:rPr>
          <w:b w:val="false"/>
          <w:bCs w:val="false"/>
        </w:rPr>
        <w:t xml:space="preserve">Interpretation delegated wholesale, summaries accepted unverified. This is the failure mode reviewers rightly fear, and it is why AI is so strongly associated with slop in many people's minds.</w:t>
      </w:r>
    </w:p>
    <w:p>
      <w:pPr>
        <w:pStyle w:val="ListParagraph"/>
        <w:numPr>
          <w:ilvl w:val="0"/>
          <w:numId w:val="1"/>
        </w:numPr>
        <w:spacing w:after="60"/>
      </w:pPr>
      <w:r>
        <w:rPr>
          <w:b/>
          <w:bCs/>
        </w:rPr>
        <w:t xml:space="preserve">"Power user" — 50% effort, 100% output. </w:t>
      </w:r>
      <w:r>
        <w:rPr>
          <w:b w:val="false"/>
          <w:bCs w:val="false"/>
        </w:rPr>
        <w:t xml:space="preserve">Conventional quality, reached faster. Productivity.</w:t>
      </w:r>
    </w:p>
    <w:p>
      <w:pPr>
        <w:pStyle w:val="ListParagraph"/>
        <w:numPr>
          <w:ilvl w:val="0"/>
          <w:numId w:val="1"/>
        </w:numPr>
        <w:spacing w:after="60"/>
      </w:pPr>
      <w:r>
        <w:rPr>
          <w:b/>
          <w:bCs/>
        </w:rPr>
        <w:t xml:space="preserve">"AI-powered superhero" — 100% effort, 140% output. </w:t>
      </w:r>
      <w:r>
        <w:rPr>
          <w:b w:val="false"/>
          <w:bCs w:val="false"/>
        </w:rPr>
        <w:t xml:space="preserve">Full researcher effort retained but redirected from mechanical work towards theorising, producing more comprehensive and more transparent analyses than manual work permits. Better research, not merely faster research.</w:t>
      </w:r>
    </w:p>
    <w:p>
      <w:pPr>
        <w:spacing w:after="120"/>
      </w:pPr>
      <w:r>
        <w:rPr>
          <w:b/>
          <w:bCs/>
          <w:i w:val="false"/>
          <w:iCs w:val="false"/>
        </w:rPr>
        <w:t xml:space="preserve">Talking point: </w:t>
      </w:r>
      <w:r>
        <w:rPr>
          <w:b w:val="false"/>
          <w:bCs w:val="false"/>
          <w:i w:val="false"/>
          <w:iCs w:val="false"/>
        </w:rPr>
        <w:t xml:space="preserve">the tool does not determine which archetype you become — your workflow does. Ask the group directly: what </w:t>
      </w:r>
      <w:r>
        <w:rPr>
          <w:b/>
          <w:bCs/>
          <w:i w:val="false"/>
          <w:iCs w:val="false"/>
        </w:rPr>
        <w:t xml:space="preserve">should</w:t>
      </w:r>
      <w:r>
        <w:rPr>
          <w:b w:val="false"/>
          <w:bCs w:val="false"/>
          <w:i w:val="false"/>
          <w:iCs w:val="false"/>
        </w:rPr>
        <w:t xml:space="preserve"> the aspiration be in qualitative research? Productivity or better research?</w:t>
      </w:r>
    </w:p>
    <w:p>
      <w:pPr>
        <w:spacing w:after="120"/>
      </w:pPr>
      <w:r>
        <w:rPr>
          <w:b w:val="false"/>
          <w:bCs w:val="false"/>
          <w:i w:val="false"/>
          <w:iCs w:val="false"/>
        </w:rPr>
        <w:t xml:space="preserve">Then take the deeper anxiety seriously. Industrialisation destroyed handcraft and moved weavers onto production lines; the fear that this is what awaits knowledge work is not silly. Oliver Sacks (2019) makes a usable epigraph — "the very culture in which one was nourished, and to which one has given one's best in return, is itself threatened" — and Cornelissen (2026) voices the same worry from inside the field, about the commodification of theory. Naming the fear earns you the right to a sober assessment afterwards.</w:t>
      </w:r>
    </w:p>
    <w:p>
      <w:pPr>
        <w:pStyle w:val="Heading3"/>
        <w:spacing w:after="100" w:before="220"/>
      </w:pPr>
      <w:r>
        <w:t xml:space="preserve">2. Strengths and weaknesses of AI (0:10–0:25)</w:t>
      </w:r>
    </w:p>
    <w:p>
      <w:pPr>
        <w:spacing w:after="120"/>
      </w:pPr>
      <w:r>
        <w:rPr>
          <w:b w:val="false"/>
          <w:bCs w:val="false"/>
          <w:i w:val="false"/>
          <w:iCs w:val="false"/>
        </w:rPr>
        <w:t xml:space="preserve">Frame it as two questions: </w:t>
      </w:r>
      <w:r>
        <w:rPr>
          <w:b/>
          <w:bCs/>
          <w:i w:val="false"/>
          <w:iCs w:val="false"/>
        </w:rPr>
        <w:t xml:space="preserve">what are the capabilities and limits of these models, and what can go wrong when we put them into our work?</w:t>
      </w:r>
    </w:p>
    <w:p>
      <w:pPr>
        <w:spacing w:after="120"/>
      </w:pPr>
      <w:r>
        <w:rPr>
          <w:b/>
          <w:bCs/>
          <w:i w:val="false"/>
          <w:iCs w:val="false"/>
        </w:rPr>
        <w:t xml:space="preserve">Enduring strengths — "processing on a tap":</w:t>
      </w:r>
    </w:p>
    <w:p>
      <w:pPr>
        <w:pStyle w:val="ListParagraph"/>
        <w:numPr>
          <w:ilvl w:val="0"/>
          <w:numId w:val="1"/>
        </w:numPr>
        <w:spacing w:after="60"/>
      </w:pPr>
      <w:r>
        <w:rPr>
          <w:b w:val="false"/>
          <w:bCs w:val="false"/>
        </w:rPr>
        <w:t xml:space="preserve">Unlimited attention and effort — no fatigue, no drift between interview 3 and interview 43.</w:t>
      </w:r>
    </w:p>
    <w:p>
      <w:pPr>
        <w:pStyle w:val="ListParagraph"/>
        <w:numPr>
          <w:ilvl w:val="0"/>
          <w:numId w:val="1"/>
        </w:numPr>
        <w:spacing w:after="60"/>
      </w:pPr>
      <w:r>
        <w:rPr>
          <w:b w:val="false"/>
          <w:bCs w:val="false"/>
        </w:rPr>
        <w:t xml:space="preserve">Consistency from the first document to the hundred-and-first.</w:t>
      </w:r>
    </w:p>
    <w:p>
      <w:pPr>
        <w:pStyle w:val="ListParagraph"/>
        <w:numPr>
          <w:ilvl w:val="0"/>
          <w:numId w:val="1"/>
        </w:numPr>
        <w:spacing w:after="60"/>
      </w:pPr>
      <w:r>
        <w:rPr>
          <w:b w:val="false"/>
          <w:bCs w:val="false"/>
        </w:rPr>
        <w:t xml:space="preserve">Completeness: no cherry-picking; the whole corpus is treated alike.</w:t>
      </w:r>
    </w:p>
    <w:p>
      <w:pPr>
        <w:pStyle w:val="ListParagraph"/>
        <w:numPr>
          <w:ilvl w:val="0"/>
          <w:numId w:val="1"/>
        </w:numPr>
        <w:spacing w:after="60"/>
      </w:pPr>
      <w:r>
        <w:rPr>
          <w:b w:val="false"/>
          <w:bCs w:val="false"/>
        </w:rPr>
        <w:t xml:space="preserve">An outsider's perspective on your project — no stakes, no confirmation bias, no groupthink.</w:t>
      </w:r>
    </w:p>
    <w:p>
      <w:pPr>
        <w:pStyle w:val="ListParagraph"/>
        <w:numPr>
          <w:ilvl w:val="0"/>
          <w:numId w:val="1"/>
        </w:numPr>
        <w:spacing w:after="60"/>
      </w:pPr>
      <w:r>
        <w:rPr>
          <w:b w:val="false"/>
          <w:bCs w:val="false"/>
        </w:rPr>
        <w:t xml:space="preserve">Revising a coding scheme becomes effortless rather than painful, which changes what is worth trying.</w:t>
      </w:r>
    </w:p>
    <w:p>
      <w:pPr>
        <w:spacing w:after="120"/>
      </w:pPr>
      <w:r>
        <w:rPr>
          <w:b w:val="false"/>
          <w:bCs w:val="false"/>
          <w:i w:val="false"/>
          <w:iCs w:val="false"/>
        </w:rPr>
        <w:t xml:space="preserve">Then turn the question back on the room: </w:t>
      </w:r>
      <w:r>
        <w:rPr>
          <w:b/>
          <w:bCs/>
          <w:i w:val="false"/>
          <w:iCs w:val="false"/>
        </w:rPr>
        <w:t xml:space="preserve">what are the enduring relative strengths of humans?</w:t>
      </w:r>
      <w:r>
        <w:rPr>
          <w:b w:val="false"/>
          <w:bCs w:val="false"/>
          <w:i w:val="false"/>
          <w:iCs w:val="false"/>
        </w:rPr>
        <w:t xml:space="preserve"> Let the group generate the list before you supply it — contextual interpretation, tone and irony, what a phrase means </w:t>
      </w:r>
      <w:r>
        <w:rPr>
          <w:b/>
          <w:bCs/>
          <w:i w:val="false"/>
          <w:iCs w:val="false"/>
        </w:rPr>
        <w:t xml:space="preserve">in this organization</w:t>
      </w:r>
      <w:r>
        <w:rPr>
          <w:b w:val="false"/>
          <w:bCs w:val="false"/>
          <w:i w:val="false"/>
          <w:iCs w:val="false"/>
        </w:rPr>
        <w:t xml:space="preserve">, theoretical nuance, noticing significant absences (what informants avoid saying), and ethical judgement about sensitive disclosures.</w:t>
      </w:r>
    </w:p>
    <w:p>
      <w:pPr>
        <w:spacing w:after="120"/>
      </w:pPr>
      <w:r>
        <w:rPr>
          <w:b/>
          <w:bCs/>
          <w:i w:val="false"/>
          <w:iCs w:val="false"/>
        </w:rPr>
        <w:t xml:space="preserve">Five risks, each with its management response. </w:t>
      </w:r>
      <w:r>
        <w:rPr>
          <w:b w:val="false"/>
          <w:bCs w:val="false"/>
          <w:i w:val="false"/>
          <w:iCs w:val="false"/>
        </w:rPr>
        <w:t xml:space="preserve">Put these on the board and leave them there for the rest of the session:</w:t>
      </w:r>
    </w:p>
    <w:p>
      <w:pPr>
        <w:pStyle w:val="ListParagraph"/>
        <w:numPr>
          <w:ilvl w:val="0"/>
          <w:numId w:val="1"/>
        </w:numPr>
        <w:spacing w:after="60"/>
      </w:pPr>
      <w:r>
        <w:rPr>
          <w:b/>
          <w:bCs/>
        </w:rPr>
        <w:t xml:space="preserve">Confidentiality — </w:t>
      </w:r>
      <w:r>
        <w:rPr>
          <w:b w:val="false"/>
          <w:bCs w:val="false"/>
        </w:rPr>
        <w:t xml:space="preserve">where is the data processed, is it used for training? Choose the service carefully: EU processing, a data processing agreement, no training on your documents. Keep your interviewees informed.</w:t>
      </w:r>
    </w:p>
    <w:p>
      <w:pPr>
        <w:pStyle w:val="ListParagraph"/>
        <w:numPr>
          <w:ilvl w:val="0"/>
          <w:numId w:val="1"/>
        </w:numPr>
        <w:spacing w:after="60"/>
      </w:pPr>
      <w:r>
        <w:rPr>
          <w:b/>
          <w:bCs/>
        </w:rPr>
        <w:t xml:space="preserve">Hallucination — </w:t>
      </w:r>
      <w:r>
        <w:rPr>
          <w:b w:val="false"/>
          <w:bCs w:val="false"/>
        </w:rPr>
        <w:t xml:space="preserve">plausible themes with nothing behind them. Every insight must link to its source quote. The link makes it checkable in one click — but you still have to click.</w:t>
      </w:r>
    </w:p>
    <w:p>
      <w:pPr>
        <w:pStyle w:val="ListParagraph"/>
        <w:numPr>
          <w:ilvl w:val="0"/>
          <w:numId w:val="1"/>
        </w:numPr>
        <w:spacing w:after="60"/>
      </w:pPr>
      <w:r>
        <w:rPr>
          <w:b/>
          <w:bCs/>
        </w:rPr>
        <w:t xml:space="preserve">Sycophancy — </w:t>
      </w:r>
      <w:r>
        <w:rPr>
          <w:b w:val="false"/>
          <w:bCs w:val="false"/>
        </w:rPr>
        <w:t xml:space="preserve">the model wants to confirm whatever the user implies. Prompt neutrally, then deliberately prompt for the opposing viewpoint or for disconfirming evidence.</w:t>
      </w:r>
    </w:p>
    <w:p>
      <w:pPr>
        <w:pStyle w:val="ListParagraph"/>
        <w:numPr>
          <w:ilvl w:val="0"/>
          <w:numId w:val="1"/>
        </w:numPr>
        <w:spacing w:after="60"/>
      </w:pPr>
      <w:r>
        <w:rPr>
          <w:b/>
          <w:bCs/>
        </w:rPr>
        <w:t xml:space="preserve">Black box — </w:t>
      </w:r>
      <w:r>
        <w:rPr>
          <w:b w:val="false"/>
          <w:bCs w:val="false"/>
        </w:rPr>
        <w:t xml:space="preserve">themes you cannot trace back. Insist on two-way transparency: which quotes feed a theme, and which themes a quote feeds.</w:t>
      </w:r>
    </w:p>
    <w:p>
      <w:pPr>
        <w:pStyle w:val="ListParagraph"/>
        <w:numPr>
          <w:ilvl w:val="0"/>
          <w:numId w:val="1"/>
        </w:numPr>
        <w:spacing w:after="60"/>
      </w:pPr>
      <w:r>
        <w:rPr>
          <w:b/>
          <w:bCs/>
        </w:rPr>
        <w:t xml:space="preserve">Methodological opacity — </w:t>
      </w:r>
      <w:r>
        <w:rPr>
          <w:b w:val="false"/>
          <w:bCs w:val="false"/>
        </w:rPr>
        <w:t xml:space="preserve">undisclosed assistance. Disclose in the Methods section and keep a documented decision log.</w:t>
      </w:r>
    </w:p>
    <w:p>
      <w:pPr>
        <w:spacing w:after="120"/>
      </w:pPr>
      <w:r>
        <w:rPr>
          <w:b w:val="false"/>
          <w:bCs w:val="false"/>
          <w:i w:val="false"/>
          <w:iCs w:val="false"/>
        </w:rPr>
        <w:t xml:space="preserve">Close the segment on responsibility: the researcher owns the data and the conclusions. You have to know your stuff.</w:t>
      </w:r>
    </w:p>
    <w:p>
      <w:pPr>
        <w:pStyle w:val="Heading3"/>
        <w:spacing w:after="100" w:before="220"/>
      </w:pPr>
      <w:r>
        <w:t xml:space="preserve">3. Reflection after the exercise: a law of large numbers? (0:50–1:00)</w:t>
      </w:r>
    </w:p>
    <w:p>
      <w:pPr>
        <w:spacing w:after="120"/>
      </w:pPr>
      <w:r>
        <w:rPr>
          <w:b w:val="false"/>
          <w:bCs w:val="false"/>
          <w:i w:val="false"/>
          <w:iCs w:val="false"/>
        </w:rPr>
        <w:t xml:space="preserve">Run this immediately after assignment 1.1, while the comparison is fresh. Show the categories AI produced from the full 85-page Armstrong interview under a slightly different prompt, and ask whether they align with the group's reading of the two-page excerpt.</w:t>
      </w:r>
    </w:p>
    <w:p>
      <w:pPr>
        <w:spacing w:after="120"/>
      </w:pPr>
      <w:r>
        <w:rPr>
          <w:b w:val="false"/>
          <w:bCs w:val="false"/>
          <w:i w:val="false"/>
          <w:iCs w:val="false"/>
        </w:rPr>
        <w:t xml:space="preserve">Then the real question: if we analyse hundreds of pages, does it matter that AI produces slightly different interpretations, so long as the common patterns come through? In what research designs can we rely on AI to pick up most of the relevant material, and when is that not a valid approach?</w:t>
      </w:r>
    </w:p>
    <w:p>
      <w:pPr>
        <w:spacing w:after="120"/>
      </w:pPr>
      <w:r>
        <w:rPr>
          <w:b/>
          <w:bCs/>
          <w:i w:val="false"/>
          <w:iCs w:val="false"/>
        </w:rPr>
        <w:t xml:space="preserve">Instructor note: </w:t>
      </w:r>
      <w:r>
        <w:rPr>
          <w:b w:val="false"/>
          <w:bCs w:val="false"/>
          <w:i w:val="false"/>
          <w:iCs w:val="false"/>
        </w:rPr>
        <w:t xml:space="preserve">there is no correct answer here, and saying so is part of the point. Sometimes large numbers crowd out the key issue. Sometimes a small detail is exactly what lets you choose between two competing readings. Large-scale coding of the Armstrong interviews would surface plenty of revealing quotes, but it could not by itself discriminate between alternative interpretations of his character.</w:t>
      </w:r>
      <w:r>
        <w:rPr>
          <w:b w:val="false"/>
          <w:bCs w:val="false"/>
          <w:i w:val="false"/>
          <w:iCs w:val="false"/>
        </w:rPr>
        <w:t xml:space="preserve"/>
      </w:r>
    </w:p>
    <w:p>
      <w:pPr>
        <w:pStyle w:val="Heading3"/>
        <w:spacing w:after="100" w:before="220"/>
      </w:pPr>
      <w:r>
        <w:t xml:space="preserve">4. Qualitative research as knowledge work: are we so special? (1:00–1:15)</w:t>
      </w:r>
    </w:p>
    <w:p>
      <w:pPr>
        <w:spacing w:after="120"/>
      </w:pPr>
      <w:r>
        <w:rPr>
          <w:b w:val="false"/>
          <w:bCs w:val="false"/>
          <w:i w:val="false"/>
          <w:iCs w:val="false"/>
        </w:rPr>
        <w:t xml:space="preserve">Widen the frame. All knowledge work is being reshaped, and the economics is not simply substitution: the more tasks you automate, the more valuable your remaining complementary expertise becomes. Acemoglu's work on translators is a useful case — employment and wages fell, except for specialised experts. And the more that is automated, the more room there is for new practices that were previously unaffordable.</w:t>
      </w:r>
    </w:p>
    <w:p>
      <w:pPr>
        <w:spacing w:after="120"/>
      </w:pPr>
      <w:r>
        <w:rPr>
          <w:b/>
          <w:bCs/>
          <w:i w:val="false"/>
          <w:iCs w:val="false"/>
        </w:rPr>
        <w:t xml:space="preserve">Ask the group: </w:t>
      </w:r>
      <w:r>
        <w:rPr>
          <w:b w:val="false"/>
          <w:bCs w:val="false"/>
          <w:i w:val="false"/>
          <w:iCs w:val="false"/>
        </w:rPr>
        <w:t xml:space="preserve">what are the complementary tasks in research whose value goes up as parts of the routine are automated? What might new research practices look like once coding and categorisation of data become cheap?</w:t>
      </w:r>
    </w:p>
    <w:p>
      <w:pPr>
        <w:spacing w:after="120"/>
      </w:pPr>
      <w:r>
        <w:rPr>
          <w:b w:val="false"/>
          <w:bCs w:val="false"/>
          <w:i w:val="false"/>
          <w:iCs w:val="false"/>
        </w:rPr>
        <w:t xml:space="preserve">Then the science-studies argument, which is the intellectual core of the session. Expert work has always been scaffolded by objects:</w:t>
      </w:r>
    </w:p>
    <w:p>
      <w:pPr>
        <w:pStyle w:val="ListParagraph"/>
        <w:numPr>
          <w:ilvl w:val="0"/>
          <w:numId w:val="1"/>
        </w:numPr>
        <w:spacing w:after="60"/>
      </w:pPr>
      <w:r>
        <w:rPr>
          <w:b w:val="false"/>
          <w:bCs w:val="false"/>
        </w:rPr>
        <w:t xml:space="preserve">Goodwin — objects of knowledge (professions)</w:t>
      </w:r>
    </w:p>
    <w:p>
      <w:pPr>
        <w:pStyle w:val="ListParagraph"/>
        <w:numPr>
          <w:ilvl w:val="0"/>
          <w:numId w:val="1"/>
        </w:numPr>
        <w:spacing w:after="60"/>
      </w:pPr>
      <w:r>
        <w:rPr>
          <w:b w:val="false"/>
          <w:bCs w:val="false"/>
        </w:rPr>
        <w:t xml:space="preserve">Latour &amp; Woolgar — inscriptions (scientists)</w:t>
      </w:r>
    </w:p>
    <w:p>
      <w:pPr>
        <w:pStyle w:val="ListParagraph"/>
        <w:numPr>
          <w:ilvl w:val="0"/>
          <w:numId w:val="1"/>
        </w:numPr>
        <w:spacing w:after="60"/>
      </w:pPr>
      <w:r>
        <w:rPr>
          <w:b w:val="false"/>
          <w:bCs w:val="false"/>
        </w:rPr>
        <w:t xml:space="preserve">Star &amp; Griesemer — boundary objects (communities)</w:t>
      </w:r>
    </w:p>
    <w:p>
      <w:pPr>
        <w:pStyle w:val="ListParagraph"/>
        <w:numPr>
          <w:ilvl w:val="0"/>
          <w:numId w:val="1"/>
        </w:numPr>
        <w:spacing w:after="60"/>
      </w:pPr>
      <w:r>
        <w:rPr>
          <w:b w:val="false"/>
          <w:bCs w:val="false"/>
        </w:rPr>
        <w:t xml:space="preserve">Knorr Cetina — epistemic objects (scientists)</w:t>
      </w:r>
    </w:p>
    <w:p>
      <w:pPr>
        <w:pStyle w:val="ListParagraph"/>
        <w:numPr>
          <w:ilvl w:val="0"/>
          <w:numId w:val="1"/>
        </w:numPr>
        <w:spacing w:after="60"/>
      </w:pPr>
      <w:r>
        <w:rPr>
          <w:b w:val="false"/>
          <w:bCs w:val="false"/>
        </w:rPr>
        <w:t xml:space="preserve">Hutchins — cognitive artifacts (workplace, ship)</w:t>
      </w:r>
    </w:p>
    <w:p>
      <w:pPr>
        <w:pStyle w:val="ListParagraph"/>
        <w:numPr>
          <w:ilvl w:val="0"/>
          <w:numId w:val="1"/>
        </w:numPr>
        <w:spacing w:after="60"/>
      </w:pPr>
      <w:r>
        <w:rPr>
          <w:b w:val="false"/>
          <w:bCs w:val="false"/>
        </w:rPr>
        <w:t xml:space="preserve">Pickering — knowledge artifacts (scientists)</w:t>
      </w:r>
    </w:p>
    <w:p>
      <w:pPr>
        <w:pStyle w:val="ListParagraph"/>
        <w:numPr>
          <w:ilvl w:val="0"/>
          <w:numId w:val="1"/>
        </w:numPr>
        <w:spacing w:after="60"/>
      </w:pPr>
      <w:r>
        <w:rPr>
          <w:b w:val="false"/>
          <w:bCs w:val="false"/>
        </w:rPr>
        <w:t xml:space="preserve">Clark &amp; Chalmers — the extended mind (everyday life)</w:t>
      </w:r>
    </w:p>
    <w:p>
      <w:pPr>
        <w:spacing w:after="120"/>
      </w:pPr>
      <w:r>
        <w:rPr>
          <w:b w:val="false"/>
          <w:bCs w:val="false"/>
          <w:i w:val="false"/>
          <w:iCs w:val="false"/>
        </w:rPr>
        <w:t xml:space="preserve">Distributed reasoning in any expert work runs through artifacts that help people create and share interpretations. Qualitative researchers already work this way: transcripts, coding schemes, CAQDAS, data tables.</w:t>
      </w:r>
    </w:p>
    <w:p>
      <w:pPr>
        <w:spacing w:after="120"/>
      </w:pPr>
      <w:r>
        <w:rPr>
          <w:b/>
          <w:bCs/>
          <w:i w:val="false"/>
          <w:iCs w:val="false"/>
        </w:rPr>
        <w:t xml:space="preserve">The pivot: </w:t>
      </w:r>
      <w:r>
        <w:rPr>
          <w:b w:val="false"/>
          <w:bCs w:val="false"/>
          <w:i w:val="false"/>
          <w:iCs w:val="false"/>
        </w:rPr>
        <w:t xml:space="preserve">if AI is conceived as a substitute for human interpretation, it fares badly — it has no rationality, no creativity, no accountability, no ethical standing, and no role as a qualitative researcher or author of new theory. But if AI is conceived as a machine that constructs useful abstractions from data — epistemic objects, like an X-ray machine or a video recorder — a much more positive role in the research process becomes visible.</w:t>
      </w:r>
    </w:p>
    <w:p>
      <w:pPr>
        <w:spacing w:after="120"/>
      </w:pPr>
      <w:r>
        <w:rPr>
          <w:b w:val="false"/>
          <w:bCs w:val="false"/>
          <w:i w:val="false"/>
          <w:iCs w:val="false"/>
        </w:rPr>
        <w:t xml:space="preserve">Draw the triangle: individual ideas → rapid construction of alternative abstractions from data → negotiation of a shared, informed consensus. Qualitative research is not only the evolving interpretation of a lone researcher; it is a social activity in which teams, reviewers and readers turn data into credible claims.</w:t>
      </w:r>
    </w:p>
    <w:p>
      <w:pPr>
        <w:spacing w:after="120"/>
      </w:pPr>
      <w:r>
        <w:rPr>
          <w:b w:val="false"/>
          <w:bCs w:val="false"/>
          <w:i w:val="false"/>
          <w:iCs w:val="false"/>
        </w:rPr>
        <w:t xml:space="preserve">Close with the uncomfortable observation: the majority of the qualitative research process consists of fairly mechanistic production of abstractions that make the theoretical story feel credible and justified — and in some traditions that work is treated as marginal even though it consumes most of the effort. The rigour conversation in our field is, at bottom, about scarce attention. AI relaxes exactly that constraint.</w:t>
      </w:r>
    </w:p>
    <w:p>
      <w:pPr>
        <w:pStyle w:val="Heading3"/>
        <w:spacing w:after="100" w:before="220"/>
      </w:pPr>
      <w:r>
        <w:t xml:space="preserve">5. Wrap-up: cognitive surrender (1:28–1:30)</w:t>
      </w:r>
    </w:p>
    <w:p>
      <w:pPr>
        <w:spacing w:after="120"/>
      </w:pPr>
      <w:r>
        <w:rPr>
          <w:b/>
          <w:bCs/>
          <w:i w:val="false"/>
          <w:iCs w:val="false"/>
        </w:rPr>
        <w:t xml:space="preserve">The key risk is not AI capability — it is cognitive surrender. </w:t>
      </w:r>
      <w:r>
        <w:rPr>
          <w:b w:val="false"/>
          <w:bCs w:val="false"/>
          <w:i w:val="false"/>
          <w:iCs w:val="false"/>
        </w:rPr>
        <w:t xml:space="preserve">Without human judgement, AI will take you down a boring path to arid findings. AI output often looks too compelling, and it is hard to climb back out of an AI-produced framing to ask what a more interesting analysis would have looked like. As long as you stay aware of the limitations, you can always ignore the tool and do the work yourself. Treat AI as the </w:t>
      </w:r>
      <w:r>
        <w:rPr>
          <w:b/>
          <w:bCs/>
          <w:i w:val="false"/>
          <w:iCs w:val="false"/>
        </w:rPr>
        <w:t xml:space="preserve">untrustworthy co-author</w:t>
      </w:r>
      <w:r>
        <w:rPr>
          <w:b w:val="false"/>
          <w:bCs w:val="false"/>
          <w:i w:val="false"/>
          <w:iCs w:val="false"/>
        </w:rPr>
        <w:t xml:space="preserve">: useful, fast, sometimes brilliant, never trusted on its word.</w:t>
      </w:r>
    </w:p>
    <w:p>
      <w:pPr>
        <w:spacing w:after="120"/>
      </w:pPr>
      <w:r>
        <w:rPr>
          <w:b w:val="false"/>
          <w:bCs w:val="false"/>
          <w:i w:val="false"/>
          <w:iCs w:val="false"/>
        </w:rPr>
        <w:t xml:space="preserve">Then hand out the home assignment and flag that Session 2 is where the specifics live — nobody needs to be comfortable with Skimle or with prompting yet.</w:t>
      </w:r>
    </w:p>
    <w:p>
      <w:pPr>
        <w:pStyle w:val="Heading2"/>
        <w:spacing w:after="120" w:before="280"/>
      </w:pPr>
      <w:r>
        <w:t xml:space="preserve">In-class assignment 1.1 — Coding Neil Armstrong: human vs. machine (25 min)</w:t>
      </w:r>
    </w:p>
    <w:p>
      <w:pPr>
        <w:spacing w:after="120"/>
      </w:pPr>
      <w:r>
        <w:rPr>
          <w:b/>
          <w:bCs/>
          <w:i/>
          <w:iCs/>
        </w:rPr>
        <w:t xml:space="preserve">Materials: </w:t>
      </w:r>
      <w:r>
        <w:rPr>
          <w:b w:val="false"/>
          <w:bCs w:val="false"/>
          <w:i/>
          <w:iCs/>
        </w:rPr>
        <w:t xml:space="preserve">a two-page excerpt from the Neil Armstrong interview, printed or shared digitally; the prepared AI coding of the same excerpt, plus the Fable/Skimle summary output, revealed only in step 4.</w:t>
      </w:r>
    </w:p>
    <w:p>
      <w:pPr>
        <w:pStyle w:val="ListParagraph"/>
        <w:numPr>
          <w:ilvl w:val="0"/>
          <w:numId w:val="3"/>
        </w:numPr>
        <w:spacing w:after="60"/>
      </w:pPr>
      <w:r>
        <w:rPr>
          <w:b/>
          <w:bCs/>
        </w:rPr>
        <w:t xml:space="preserve">(8 min, individually) </w:t>
      </w:r>
      <w:r>
        <w:rPr>
          <w:b w:val="false"/>
          <w:bCs w:val="false"/>
        </w:rPr>
        <w:t xml:space="preserve">Read the excerpt and mark the passages where Armstrong portrays his character or personal image to the interviewer and the audience. Note a short label for each.</w:t>
      </w:r>
    </w:p>
    <w:p>
      <w:pPr>
        <w:pStyle w:val="ListParagraph"/>
        <w:numPr>
          <w:ilvl w:val="0"/>
          <w:numId w:val="3"/>
        </w:numPr>
        <w:spacing w:after="60"/>
      </w:pPr>
      <w:r>
        <w:rPr>
          <w:b/>
          <w:bCs/>
        </w:rPr>
        <w:t xml:space="preserve">(7 min, groups of 3–4) </w:t>
      </w:r>
      <w:r>
        <w:rPr>
          <w:b w:val="false"/>
          <w:bCs w:val="false"/>
        </w:rPr>
        <w:t xml:space="preserve">Compare which quotes each of you highlighted, and where your labels differ. Before the reveal, predict: how well will AI do this job?</w:t>
      </w:r>
    </w:p>
    <w:p>
      <w:pPr>
        <w:pStyle w:val="ListParagraph"/>
        <w:numPr>
          <w:ilvl w:val="0"/>
          <w:numId w:val="3"/>
        </w:numPr>
        <w:spacing w:after="60"/>
      </w:pPr>
      <w:r>
        <w:rPr>
          <w:b/>
          <w:bCs/>
        </w:rPr>
        <w:t xml:space="preserve">(6 min, plenary) </w:t>
      </w:r>
      <w:r>
        <w:rPr>
          <w:b w:val="false"/>
          <w:bCs w:val="false"/>
        </w:rPr>
        <w:t xml:space="preserve">Reveal the AI coding — realist rather than glory-driven; modest and humble; competent; charitable; collectivist rather than individualistic; practical; rational; control over emotions; factual and backgrounding the self. Then show the Fable summary produced from the prompt "what personality characteristics Armstrong is projecting/displaying to the audience" and point out what it missed: humility and modesty are absent, as is Armstrong's charitable stance towards others. The prompt did not work well; the model misread the intent.</w:t>
      </w:r>
    </w:p>
    <w:p>
      <w:pPr>
        <w:pStyle w:val="ListParagraph"/>
        <w:numPr>
          <w:ilvl w:val="0"/>
          <w:numId w:val="3"/>
        </w:numPr>
        <w:spacing w:after="60"/>
      </w:pPr>
      <w:r>
        <w:rPr>
          <w:b/>
          <w:bCs/>
        </w:rPr>
        <w:t xml:space="preserve">(4 min, plenary) </w:t>
      </w:r>
      <w:r>
        <w:rPr>
          <w:b w:val="false"/>
          <w:bCs w:val="false"/>
        </w:rPr>
        <w:t xml:space="preserve">Collect two columns on the board — machine advantage and human advantage. What did the AI capture that you missed? What did you see that it missed? Did anyone dismiss a quote the AI found, and were they right to?</w:t>
      </w:r>
    </w:p>
    <w:p>
      <w:pPr>
        <w:spacing w:after="120"/>
      </w:pPr>
      <w:r>
        <w:rPr>
          <w:b/>
          <w:bCs/>
          <w:i w:val="false"/>
          <w:iCs w:val="false"/>
        </w:rPr>
        <w:t xml:space="preserve">Instructor note: </w:t>
      </w:r>
      <w:r>
        <w:rPr>
          <w:b w:val="false"/>
          <w:bCs w:val="false"/>
          <w:i w:val="false"/>
          <w:iCs w:val="false"/>
        </w:rPr>
        <w:t xml:space="preserve">the honest generalisation is that coding factual information is easy for both AI and humans, while interpretation that requires reading between the lines is hard for both. The exercise usually reproduces the lecture's claims from participants' own experience, which is exactly the point — and occasionally it embarrasses the lecture, which is better.</w:t>
      </w:r>
    </w:p>
    <w:p>
      <w:pPr>
        <w:pStyle w:val="Heading2"/>
        <w:spacing w:after="120" w:before="280"/>
      </w:pPr>
      <w:r>
        <w:t xml:space="preserve">In-class assignment 1.2 — The risk map and the Methods paragraph (13 min)</w:t>
      </w:r>
    </w:p>
    <w:p>
      <w:pPr>
        <w:spacing w:after="120"/>
      </w:pPr>
      <w:r>
        <w:rPr>
          <w:b/>
          <w:bCs/>
          <w:i/>
          <w:iCs/>
        </w:rPr>
        <w:t xml:space="preserve">Materials: </w:t>
      </w:r>
      <w:r>
        <w:rPr>
          <w:b w:val="false"/>
          <w:bCs w:val="false"/>
          <w:i/>
          <w:iCs/>
        </w:rPr>
        <w:t xml:space="preserve">the five risks from segment 2 visible on the board; one sheet per group.</w:t>
      </w:r>
    </w:p>
    <w:p>
      <w:pPr>
        <w:pStyle w:val="ListParagraph"/>
        <w:numPr>
          <w:ilvl w:val="0"/>
          <w:numId w:val="4"/>
        </w:numPr>
        <w:spacing w:after="60"/>
      </w:pPr>
      <w:r>
        <w:rPr>
          <w:b/>
          <w:bCs/>
        </w:rPr>
        <w:t xml:space="preserve">(6 min) </w:t>
      </w:r>
      <w:r>
        <w:rPr>
          <w:b w:val="false"/>
          <w:bCs w:val="false"/>
        </w:rPr>
        <w:t xml:space="preserve">Each group takes its members' actual or planned research settings and works down the five risks — confidentiality, hallucination, sycophancy, black box, methodological opacity — plus cognitive surrender. For each, answer two questions: how would this specifically bite in </w:t>
      </w:r>
      <w:r>
        <w:rPr>
          <w:b/>
          <w:bCs/>
        </w:rPr>
        <w:t xml:space="preserve">our</w:t>
      </w:r>
      <w:r>
        <w:rPr>
          <w:b w:val="false"/>
          <w:bCs w:val="false"/>
        </w:rPr>
        <w:t xml:space="preserve"> data, and what is the concrete management step? Push for specifics: "be careful with sensitive data" is not an answer; "our interviewees are named in a small industry, so we anonymise before upload and record that in the consent form" is.</w:t>
      </w:r>
    </w:p>
    <w:p>
      <w:pPr>
        <w:pStyle w:val="ListParagraph"/>
        <w:numPr>
          <w:ilvl w:val="0"/>
          <w:numId w:val="4"/>
        </w:numPr>
        <w:spacing w:after="60"/>
      </w:pPr>
      <w:r>
        <w:rPr>
          <w:b/>
          <w:bCs/>
        </w:rPr>
        <w:t xml:space="preserve">(4 min) </w:t>
      </w:r>
      <w:r>
        <w:rPr>
          <w:b w:val="false"/>
          <w:bCs w:val="false"/>
        </w:rPr>
        <w:t xml:space="preserve">Each group drafts a three-to-four sentence AI-disclosure paragraph for a Methods section: what the tool did, what the researcher did, how outputs were verified, and what was disclosed.</w:t>
      </w:r>
    </w:p>
    <w:p>
      <w:pPr>
        <w:pStyle w:val="ListParagraph"/>
        <w:numPr>
          <w:ilvl w:val="0"/>
          <w:numId w:val="4"/>
        </w:numPr>
        <w:spacing w:after="60"/>
      </w:pPr>
      <w:r>
        <w:rPr>
          <w:b/>
          <w:bCs/>
        </w:rPr>
        <w:t xml:space="preserve">(3 min, plenary) </w:t>
      </w:r>
      <w:r>
        <w:rPr>
          <w:b w:val="false"/>
          <w:bCs w:val="false"/>
        </w:rPr>
        <w:t xml:space="preserve">Two groups read their paragraph aloud. Ask the room what a sceptical reviewer would still want to know.</w:t>
      </w:r>
    </w:p>
    <w:p>
      <w:pPr>
        <w:spacing w:after="120"/>
      </w:pPr>
      <w:r>
        <w:rPr>
          <w:b/>
          <w:bCs/>
          <w:i w:val="false"/>
          <w:iCs w:val="false"/>
        </w:rPr>
        <w:t xml:space="preserve">Instructor note: </w:t>
      </w:r>
      <w:r>
        <w:rPr>
          <w:b w:val="false"/>
          <w:bCs w:val="false"/>
          <w:i w:val="false"/>
          <w:iCs w:val="false"/>
        </w:rPr>
        <w:t xml:space="preserve">keep the drafts. Participants build on them in the post-session assignment, and the contrast between the three-minute version and the considered version is instructive when you return to it in Session 2.</w:t>
      </w:r>
    </w:p>
    <w:p>
      <w:pPr>
        <w:pStyle w:val="Heading2"/>
        <w:spacing w:after="120" w:before="280"/>
      </w:pPr>
      <w:r>
        <w:t xml:space="preserve">Post-session assignment 1 — A basis for your Methods section (3–5 hours)</w:t>
      </w:r>
    </w:p>
    <w:p>
      <w:pPr>
        <w:spacing w:after="120"/>
      </w:pPr>
      <w:r>
        <w:rPr>
          <w:b/>
          <w:bCs/>
          <w:i w:val="false"/>
          <w:iCs w:val="false"/>
        </w:rPr>
        <w:t xml:space="preserve">The task. </w:t>
      </w:r>
      <w:r>
        <w:rPr>
          <w:b w:val="false"/>
          <w:bCs w:val="false"/>
          <w:i w:val="false"/>
          <w:iCs w:val="false"/>
        </w:rPr>
        <w:t xml:space="preserve">Given my own research interests and empirical data — existing or planned — how could I use AI to support me, and what are the risks? Write 1–2 pages that can serve as the basis for the Methods section of your thesis or manuscript.</w:t>
      </w:r>
    </w:p>
    <w:p>
      <w:pPr>
        <w:spacing w:after="120"/>
      </w:pPr>
      <w:r>
        <w:rPr>
          <w:b/>
          <w:bCs/>
          <w:i w:val="false"/>
          <w:iCs w:val="false"/>
        </w:rPr>
        <w:t xml:space="preserve">Structure it around the five stages of the research lifecycle:</w:t>
      </w:r>
    </w:p>
    <w:p>
      <w:pPr>
        <w:pStyle w:val="ListParagraph"/>
        <w:numPr>
          <w:ilvl w:val="0"/>
          <w:numId w:val="1"/>
        </w:numPr>
        <w:spacing w:after="60"/>
      </w:pPr>
      <w:r>
        <w:rPr>
          <w:b/>
          <w:bCs/>
        </w:rPr>
        <w:t xml:space="preserve">Design — </w:t>
      </w:r>
      <w:r>
        <w:rPr>
          <w:b w:val="false"/>
          <w:bCs w:val="false"/>
        </w:rPr>
        <w:t xml:space="preserve">sampling, data collection, interview guide, ethics review</w:t>
      </w:r>
    </w:p>
    <w:p>
      <w:pPr>
        <w:pStyle w:val="ListParagraph"/>
        <w:numPr>
          <w:ilvl w:val="0"/>
          <w:numId w:val="1"/>
        </w:numPr>
        <w:spacing w:after="60"/>
      </w:pPr>
      <w:r>
        <w:rPr>
          <w:b/>
          <w:bCs/>
        </w:rPr>
        <w:t xml:space="preserve">Data generation and organizing — </w:t>
      </w:r>
      <w:r>
        <w:rPr>
          <w:b w:val="false"/>
          <w:bCs w:val="false"/>
        </w:rPr>
        <w:t xml:space="preserve">transcription, anonymisation, metadata, organisation</w:t>
      </w:r>
    </w:p>
    <w:p>
      <w:pPr>
        <w:pStyle w:val="ListParagraph"/>
        <w:numPr>
          <w:ilvl w:val="0"/>
          <w:numId w:val="1"/>
        </w:numPr>
        <w:spacing w:after="60"/>
      </w:pPr>
      <w:r>
        <w:rPr>
          <w:b/>
          <w:bCs/>
        </w:rPr>
        <w:t xml:space="preserve">Familiarization — </w:t>
      </w:r>
      <w:r>
        <w:rPr>
          <w:b w:val="false"/>
          <w:bCs w:val="false"/>
        </w:rPr>
        <w:t xml:space="preserve">narrative summaries, first-order coding, grouping and forming themes</w:t>
      </w:r>
    </w:p>
    <w:p>
      <w:pPr>
        <w:pStyle w:val="ListParagraph"/>
        <w:numPr>
          <w:ilvl w:val="0"/>
          <w:numId w:val="1"/>
        </w:numPr>
        <w:spacing w:after="60"/>
      </w:pPr>
      <w:r>
        <w:rPr>
          <w:b/>
          <w:bCs/>
        </w:rPr>
        <w:t xml:space="preserve">Theorizing — </w:t>
      </w:r>
      <w:r>
        <w:rPr>
          <w:b w:val="false"/>
          <w:bCs w:val="false"/>
        </w:rPr>
        <w:t xml:space="preserve">framing the study, theoretical categorization, structured comparisons, theoretical narrative, contributions</w:t>
      </w:r>
    </w:p>
    <w:p>
      <w:pPr>
        <w:pStyle w:val="ListParagraph"/>
        <w:numPr>
          <w:ilvl w:val="0"/>
          <w:numId w:val="1"/>
        </w:numPr>
        <w:spacing w:after="60"/>
      </w:pPr>
      <w:r>
        <w:rPr>
          <w:b/>
          <w:bCs/>
        </w:rPr>
        <w:t xml:space="preserve">Reporting — </w:t>
      </w:r>
      <w:r>
        <w:rPr>
          <w:b w:val="false"/>
          <w:bCs w:val="false"/>
        </w:rPr>
        <w:t xml:space="preserve">data tables, polishing labels, picking power quotes, writing vignettes, Findings, Discussion, Methods</w:t>
      </w:r>
    </w:p>
    <w:p>
      <w:pPr>
        <w:spacing w:after="120"/>
      </w:pPr>
      <w:r>
        <w:rPr>
          <w:b w:val="false"/>
          <w:bCs w:val="false"/>
          <w:i w:val="false"/>
          <w:iCs w:val="false"/>
        </w:rPr>
        <w:t xml:space="preserve">For each stage, state what you would delegate, what you would keep, and what would have to be true for you to trust the output. Be concrete about your own data rather than generic about AI.</w:t>
      </w:r>
    </w:p>
    <w:p>
      <w:pPr>
        <w:spacing w:after="120"/>
      </w:pPr>
      <w:r>
        <w:rPr>
          <w:b/>
          <w:bCs/>
          <w:i w:val="false"/>
          <w:iCs w:val="false"/>
        </w:rPr>
        <w:t xml:space="preserve">Also do this: </w:t>
      </w:r>
      <w:r>
        <w:rPr>
          <w:b w:val="false"/>
          <w:bCs w:val="false"/>
          <w:i w:val="false"/>
          <w:iCs w:val="false"/>
        </w:rPr>
        <w:t xml:space="preserve">to the extent you have a research plan, an interview guide, or existing data, actually try a general-purpose AI tool and/or Skimle on it before you write. An hour of trying beats three hours of speculating.</w:t>
      </w:r>
    </w:p>
    <w:p>
      <w:pPr>
        <w:spacing w:after="120"/>
      </w:pPr>
      <w:r>
        <w:rPr>
          <w:b/>
          <w:bCs/>
          <w:i w:val="false"/>
          <w:iCs w:val="false"/>
        </w:rPr>
        <w:t xml:space="preserve">Why it matters: </w:t>
      </w:r>
      <w:r>
        <w:rPr>
          <w:b w:val="false"/>
          <w:bCs w:val="false"/>
          <w:i w:val="false"/>
          <w:iCs w:val="false"/>
        </w:rPr>
        <w:t xml:space="preserve">this assignment is the substance of the opening of Session 2. Doing it well is what makes that discussion worth having.</w:t>
      </w:r>
    </w:p>
    <w:p>
      <w:r>
        <w:br w:type="page"/>
      </w:r>
    </w:p>
    <w:p>
      <w:pPr>
        <w:pStyle w:val="Heading1"/>
        <w:spacing w:after="160" w:before="360"/>
      </w:pPr>
      <w:r>
        <w:t xml:space="preserve">Session 2 — Using AI throughout your qualitative study</w:t>
      </w:r>
    </w:p>
    <w:p>
      <w:pPr>
        <w:spacing w:after="120"/>
      </w:pPr>
      <w:r>
        <w:rPr>
          <w:b w:val="false"/>
          <w:bCs w:val="false"/>
          <w:i/>
          <w:iCs/>
          <w:color w:val="595959"/>
        </w:rPr>
        <w:t xml:space="preserve">From research design to a polished manuscript: the lifecycle, stage by stage, hands-on in Skimle.</w:t>
      </w:r>
    </w:p>
    <w:p>
      <w:pPr>
        <w:pStyle w:val="Heading2"/>
        <w:spacing w:after="120" w:before="280"/>
      </w:pPr>
      <w:r>
        <w:t xml:space="preserve">Learning objectives</w:t>
      </w:r>
    </w:p>
    <w:p>
      <w:pPr>
        <w:spacing w:after="120"/>
      </w:pPr>
      <w:r>
        <w:rPr>
          <w:b w:val="false"/>
          <w:bCs w:val="false"/>
          <w:i w:val="false"/>
          <w:iCs w:val="false"/>
        </w:rPr>
        <w:t xml:space="preserve">By the end of this session, participants can:</w:t>
      </w:r>
    </w:p>
    <w:p>
      <w:pPr>
        <w:pStyle w:val="ListParagraph"/>
        <w:numPr>
          <w:ilvl w:val="0"/>
          <w:numId w:val="5"/>
        </w:numPr>
        <w:spacing w:after="60"/>
      </w:pPr>
      <w:r>
        <w:rPr>
          <w:b w:val="false"/>
          <w:bCs w:val="false"/>
        </w:rPr>
        <w:t xml:space="preserve">Locate AI-supported tasks within the five stages of the qualitative research lifecycle, and explain why cheaper iteration changes which research choices are revisable.</w:t>
      </w:r>
    </w:p>
    <w:p>
      <w:pPr>
        <w:pStyle w:val="ListParagraph"/>
        <w:numPr>
          <w:ilvl w:val="0"/>
          <w:numId w:val="5"/>
        </w:numPr>
        <w:spacing w:after="60"/>
      </w:pPr>
      <w:r>
        <w:rPr>
          <w:b w:val="false"/>
          <w:bCs w:val="false"/>
        </w:rPr>
        <w:t xml:space="preserve">Generate and — critically — verify document metadata, and use it to organise informants and structure comparisons.</w:t>
      </w:r>
    </w:p>
    <w:p>
      <w:pPr>
        <w:pStyle w:val="ListParagraph"/>
        <w:numPr>
          <w:ilvl w:val="0"/>
          <w:numId w:val="5"/>
        </w:numPr>
        <w:spacing w:after="60"/>
      </w:pPr>
      <w:r>
        <w:rPr>
          <w:b w:val="false"/>
          <w:bCs w:val="false"/>
        </w:rPr>
        <w:t xml:space="preserve">Distinguish descriptive coding (identified themes) from theory-driven coding (predefined categories), and say what each is good for.</w:t>
      </w:r>
    </w:p>
    <w:p>
      <w:pPr>
        <w:pStyle w:val="ListParagraph"/>
        <w:numPr>
          <w:ilvl w:val="0"/>
          <w:numId w:val="5"/>
        </w:numPr>
        <w:spacing w:after="60"/>
      </w:pPr>
      <w:r>
        <w:rPr>
          <w:b w:val="false"/>
          <w:bCs w:val="false"/>
        </w:rPr>
        <w:t xml:space="preserve">Use Recreate structure to redistribute existing insights into a theoretically motivated category scheme, and judge the result honestly, including what the miscellaneous bucket is telling them.</w:t>
      </w:r>
    </w:p>
    <w:p>
      <w:pPr>
        <w:pStyle w:val="ListParagraph"/>
        <w:numPr>
          <w:ilvl w:val="0"/>
          <w:numId w:val="5"/>
        </w:numPr>
        <w:spacing w:after="60"/>
      </w:pPr>
      <w:r>
        <w:rPr>
          <w:b w:val="false"/>
          <w:bCs w:val="false"/>
        </w:rPr>
        <w:t xml:space="preserve">Run structured comparisons across metadata and explain why equal-effort machine coding makes such comparisons more defensible than they were in the pre-AI era.</w:t>
      </w:r>
    </w:p>
    <w:p>
      <w:pPr>
        <w:pStyle w:val="ListParagraph"/>
        <w:numPr>
          <w:ilvl w:val="0"/>
          <w:numId w:val="5"/>
        </w:numPr>
        <w:spacing w:after="60"/>
      </w:pPr>
      <w:r>
        <w:rPr>
          <w:b w:val="false"/>
          <w:bCs w:val="false"/>
        </w:rPr>
        <w:t xml:space="preserve">Assemble power quotes and counter-evidence, and export quote tables for a manuscript.</w:t>
      </w:r>
    </w:p>
    <w:p>
      <w:pPr>
        <w:pStyle w:val="Heading2"/>
        <w:spacing w:after="120" w:before="280"/>
      </w:pPr>
      <w:r>
        <w:t xml:space="preserve">Session plan (90 minutes)</w:t>
      </w:r>
    </w:p>
    <w:tbl>
      <w:tblPr>
        <w:tblW w:type="dxa" w:w="9026"/>
        <w:tblBorders>
          <w:top w:val="single" w:color="BFBFBF" w:sz="4"/>
          <w:left w:val="single" w:color="BFBFBF" w:sz="4"/>
          <w:bottom w:val="single" w:color="BFBFBF" w:sz="4"/>
          <w:right w:val="single" w:color="BFBFBF" w:sz="4"/>
          <w:insideH w:val="single" w:color="D9D9D9" w:sz="2"/>
          <w:insideV w:val="single" w:color="D9D9D9" w:sz="2"/>
        </w:tblBorders>
      </w:tblPr>
      <w:tblGrid>
        <w:gridCol w:w="1400"/>
        <w:gridCol w:w="5626"/>
        <w:gridCol w:w="2000"/>
      </w:tblGrid>
      <w:tr>
        <w:trPr>
          <w:tblHeader/>
        </w:trPr>
        <w:tc>
          <w:tcPr>
            <w:tcW w:type="dxa" w:w="1400"/>
            <w:shd w:fill="E8EDF5" w:color="auto" w:val="clear"/>
            <w:tcMar>
              <w:top w:type="dxa" w:w="60"/>
              <w:left w:type="dxa" w:w="110"/>
              <w:bottom w:type="dxa" w:w="60"/>
              <w:right w:type="dxa" w:w="110"/>
            </w:tcMar>
          </w:tcPr>
          <w:p>
            <w:pPr>
              <w:spacing w:after="0"/>
            </w:pPr>
            <w:r>
              <w:rPr>
                <w:b/>
                <w:bCs/>
                <w:color w:val="1F3864"/>
              </w:rPr>
              <w:t xml:space="preserve">Time</w:t>
            </w:r>
          </w:p>
        </w:tc>
        <w:tc>
          <w:tcPr>
            <w:tcW w:type="dxa" w:w="5626"/>
            <w:shd w:fill="E8EDF5" w:color="auto" w:val="clear"/>
            <w:tcMar>
              <w:top w:type="dxa" w:w="60"/>
              <w:left w:type="dxa" w:w="110"/>
              <w:bottom w:type="dxa" w:w="60"/>
              <w:right w:type="dxa" w:w="110"/>
            </w:tcMar>
          </w:tcPr>
          <w:p>
            <w:pPr>
              <w:spacing w:after="0"/>
            </w:pPr>
            <w:r>
              <w:rPr>
                <w:b/>
                <w:bCs/>
                <w:color w:val="1F3864"/>
              </w:rPr>
              <w:t xml:space="preserve">Segment</w:t>
            </w:r>
          </w:p>
        </w:tc>
        <w:tc>
          <w:tcPr>
            <w:tcW w:type="dxa" w:w="2000"/>
            <w:shd w:fill="E8EDF5" w:color="auto" w:val="clear"/>
            <w:tcMar>
              <w:top w:type="dxa" w:w="60"/>
              <w:left w:type="dxa" w:w="110"/>
              <w:bottom w:type="dxa" w:w="60"/>
              <w:right w:type="dxa" w:w="110"/>
            </w:tcMar>
          </w:tcPr>
          <w:p>
            <w:pPr>
              <w:spacing w:after="0"/>
            </w:pPr>
            <w:r>
              <w:rPr>
                <w:b/>
                <w:bCs/>
                <w:color w:val="1F3864"/>
              </w:rPr>
              <w:t xml:space="preserve">Mode</w:t>
            </w:r>
          </w:p>
        </w:tc>
      </w:tr>
      <w:tr>
        <w:tc>
          <w:tcPr>
            <w:tcW w:type="dxa" w:w="1400"/>
            <w:tcMar>
              <w:top w:type="dxa" w:w="60"/>
              <w:left w:type="dxa" w:w="110"/>
              <w:bottom w:type="dxa" w:w="60"/>
              <w:right w:type="dxa" w:w="110"/>
            </w:tcMar>
          </w:tcPr>
          <w:p>
            <w:pPr>
              <w:spacing w:after="0"/>
            </w:pPr>
            <w:r>
              <w:rPr>
                <w:b w:val="false"/>
                <w:bCs w:val="false"/>
              </w:rPr>
              <w:t xml:space="preserve">0:00–0:12</w:t>
            </w:r>
          </w:p>
        </w:tc>
        <w:tc>
          <w:tcPr>
            <w:tcW w:type="dxa" w:w="5626"/>
            <w:tcMar>
              <w:top w:type="dxa" w:w="60"/>
              <w:left w:type="dxa" w:w="110"/>
              <w:bottom w:type="dxa" w:w="60"/>
              <w:right w:type="dxa" w:w="110"/>
            </w:tcMar>
          </w:tcPr>
          <w:p>
            <w:pPr>
              <w:spacing w:after="0"/>
            </w:pPr>
            <w:r>
              <w:rPr>
                <w:b w:val="false"/>
                <w:bCs w:val="false"/>
              </w:rPr>
              <w:t xml:space="preserve">Unpacking the home assignment across the five stages</w:t>
            </w:r>
          </w:p>
        </w:tc>
        <w:tc>
          <w:tcPr>
            <w:tcW w:type="dxa" w:w="2000"/>
            <w:tcMar>
              <w:top w:type="dxa" w:w="60"/>
              <w:left w:type="dxa" w:w="110"/>
              <w:bottom w:type="dxa" w:w="60"/>
              <w:right w:type="dxa" w:w="110"/>
            </w:tcMar>
          </w:tcPr>
          <w:p>
            <w:pPr>
              <w:spacing w:after="0"/>
            </w:pPr>
            <w:r>
              <w:rPr>
                <w:b w:val="false"/>
                <w:bCs w:val="false"/>
              </w:rPr>
              <w:t xml:space="preserve">Groups + plenary</w:t>
            </w:r>
          </w:p>
        </w:tc>
      </w:tr>
      <w:tr>
        <w:tc>
          <w:tcPr>
            <w:tcW w:type="dxa" w:w="1400"/>
            <w:tcMar>
              <w:top w:type="dxa" w:w="60"/>
              <w:left w:type="dxa" w:w="110"/>
              <w:bottom w:type="dxa" w:w="60"/>
              <w:right w:type="dxa" w:w="110"/>
            </w:tcMar>
          </w:tcPr>
          <w:p>
            <w:pPr>
              <w:spacing w:after="0"/>
            </w:pPr>
            <w:r>
              <w:rPr>
                <w:b w:val="false"/>
                <w:bCs w:val="false"/>
              </w:rPr>
              <w:t xml:space="preserve">0:12–0:22</w:t>
            </w:r>
          </w:p>
        </w:tc>
        <w:tc>
          <w:tcPr>
            <w:tcW w:type="dxa" w:w="5626"/>
            <w:tcMar>
              <w:top w:type="dxa" w:w="60"/>
              <w:left w:type="dxa" w:w="110"/>
              <w:bottom w:type="dxa" w:w="60"/>
              <w:right w:type="dxa" w:w="110"/>
            </w:tcMar>
          </w:tcPr>
          <w:p>
            <w:pPr>
              <w:spacing w:after="0"/>
            </w:pPr>
            <w:r>
              <w:rPr>
                <w:b w:val="false"/>
                <w:bCs w:val="false"/>
              </w:rPr>
              <w:t xml:space="preserve">The research cycle, iteration, and two enduring concerns</w:t>
            </w:r>
          </w:p>
        </w:tc>
        <w:tc>
          <w:tcPr>
            <w:tcW w:type="dxa" w:w="2000"/>
            <w:tcMar>
              <w:top w:type="dxa" w:w="60"/>
              <w:left w:type="dxa" w:w="110"/>
              <w:bottom w:type="dxa" w:w="60"/>
              <w:right w:type="dxa" w:w="110"/>
            </w:tcMar>
          </w:tcPr>
          <w:p>
            <w:pPr>
              <w:spacing w:after="0"/>
            </w:pPr>
            <w:r>
              <w:rPr>
                <w:b w:val="false"/>
                <w:bCs w:val="false"/>
              </w:rPr>
              <w:t xml:space="preserve">Lecture + discussion</w:t>
            </w:r>
          </w:p>
        </w:tc>
      </w:tr>
      <w:tr>
        <w:tc>
          <w:tcPr>
            <w:tcW w:type="dxa" w:w="1400"/>
            <w:tcMar>
              <w:top w:type="dxa" w:w="60"/>
              <w:left w:type="dxa" w:w="110"/>
              <w:bottom w:type="dxa" w:w="60"/>
              <w:right w:type="dxa" w:w="110"/>
            </w:tcMar>
          </w:tcPr>
          <w:p>
            <w:pPr>
              <w:spacing w:after="0"/>
            </w:pPr>
            <w:r>
              <w:rPr>
                <w:b w:val="false"/>
                <w:bCs w:val="false"/>
              </w:rPr>
              <w:t xml:space="preserve">0:22–0:32</w:t>
            </w:r>
          </w:p>
        </w:tc>
        <w:tc>
          <w:tcPr>
            <w:tcW w:type="dxa" w:w="5626"/>
            <w:tcMar>
              <w:top w:type="dxa" w:w="60"/>
              <w:left w:type="dxa" w:w="110"/>
              <w:bottom w:type="dxa" w:w="60"/>
              <w:right w:type="dxa" w:w="110"/>
            </w:tcMar>
          </w:tcPr>
          <w:p>
            <w:pPr>
              <w:spacing w:after="0"/>
            </w:pPr>
            <w:r>
              <w:rPr>
                <w:b w:val="false"/>
                <w:bCs w:val="false"/>
              </w:rPr>
              <w:t xml:space="preserve">Design and data generation; setting up the BigBank demo project</w:t>
            </w:r>
          </w:p>
        </w:tc>
        <w:tc>
          <w:tcPr>
            <w:tcW w:type="dxa" w:w="2000"/>
            <w:tcMar>
              <w:top w:type="dxa" w:w="60"/>
              <w:left w:type="dxa" w:w="110"/>
              <w:bottom w:type="dxa" w:w="60"/>
              <w:right w:type="dxa" w:w="110"/>
            </w:tcMar>
          </w:tcPr>
          <w:p>
            <w:pPr>
              <w:spacing w:after="0"/>
            </w:pPr>
            <w:r>
              <w:rPr>
                <w:b w:val="false"/>
                <w:bCs w:val="false"/>
              </w:rPr>
              <w:t xml:space="preserve">Lecture + setup</w:t>
            </w:r>
          </w:p>
        </w:tc>
      </w:tr>
      <w:tr>
        <w:tc>
          <w:tcPr>
            <w:tcW w:type="dxa" w:w="1400"/>
            <w:tcMar>
              <w:top w:type="dxa" w:w="60"/>
              <w:left w:type="dxa" w:w="110"/>
              <w:bottom w:type="dxa" w:w="60"/>
              <w:right w:type="dxa" w:w="110"/>
            </w:tcMar>
          </w:tcPr>
          <w:p>
            <w:pPr>
              <w:spacing w:after="0"/>
            </w:pPr>
            <w:r>
              <w:rPr>
                <w:b w:val="false"/>
                <w:bCs w:val="false"/>
              </w:rPr>
              <w:t xml:space="preserve">0:32–0:47</w:t>
            </w:r>
          </w:p>
        </w:tc>
        <w:tc>
          <w:tcPr>
            <w:tcW w:type="dxa" w:w="5626"/>
            <w:tcMar>
              <w:top w:type="dxa" w:w="60"/>
              <w:left w:type="dxa" w:w="110"/>
              <w:bottom w:type="dxa" w:w="60"/>
              <w:right w:type="dxa" w:w="110"/>
            </w:tcMar>
          </w:tcPr>
          <w:p>
            <w:pPr>
              <w:spacing w:after="0"/>
            </w:pPr>
            <w:r>
              <w:rPr>
                <w:b/>
                <w:bCs/>
              </w:rPr>
              <w:t xml:space="preserve">In-class assignment 2.1: Metadata sprint — generate, then verify</w:t>
            </w:r>
          </w:p>
        </w:tc>
        <w:tc>
          <w:tcPr>
            <w:tcW w:type="dxa" w:w="2000"/>
            <w:tcMar>
              <w:top w:type="dxa" w:w="60"/>
              <w:left w:type="dxa" w:w="110"/>
              <w:bottom w:type="dxa" w:w="60"/>
              <w:right w:type="dxa" w:w="110"/>
            </w:tcMar>
          </w:tcPr>
          <w:p>
            <w:pPr>
              <w:spacing w:after="0"/>
            </w:pPr>
            <w:r>
              <w:rPr>
                <w:b w:val="false"/>
                <w:bCs w:val="false"/>
              </w:rPr>
              <w:t xml:space="preserve">Hands-on, pairs</w:t>
            </w:r>
          </w:p>
        </w:tc>
      </w:tr>
      <w:tr>
        <w:tc>
          <w:tcPr>
            <w:tcW w:type="dxa" w:w="1400"/>
            <w:tcMar>
              <w:top w:type="dxa" w:w="60"/>
              <w:left w:type="dxa" w:w="110"/>
              <w:bottom w:type="dxa" w:w="60"/>
              <w:right w:type="dxa" w:w="110"/>
            </w:tcMar>
          </w:tcPr>
          <w:p>
            <w:pPr>
              <w:spacing w:after="0"/>
            </w:pPr>
            <w:r>
              <w:rPr>
                <w:b w:val="false"/>
                <w:bCs w:val="false"/>
              </w:rPr>
              <w:t xml:space="preserve">0:47–0:57</w:t>
            </w:r>
          </w:p>
        </w:tc>
        <w:tc>
          <w:tcPr>
            <w:tcW w:type="dxa" w:w="5626"/>
            <w:tcMar>
              <w:top w:type="dxa" w:w="60"/>
              <w:left w:type="dxa" w:w="110"/>
              <w:bottom w:type="dxa" w:w="60"/>
              <w:right w:type="dxa" w:w="110"/>
            </w:tcMar>
          </w:tcPr>
          <w:p>
            <w:pPr>
              <w:spacing w:after="0"/>
            </w:pPr>
            <w:r>
              <w:rPr>
                <w:b w:val="false"/>
                <w:bCs w:val="false"/>
              </w:rPr>
              <w:t xml:space="preserve">Familiarization: identified themes vs. predefined categories</w:t>
            </w:r>
          </w:p>
        </w:tc>
        <w:tc>
          <w:tcPr>
            <w:tcW w:type="dxa" w:w="2000"/>
            <w:tcMar>
              <w:top w:type="dxa" w:w="60"/>
              <w:left w:type="dxa" w:w="110"/>
              <w:bottom w:type="dxa" w:w="60"/>
              <w:right w:type="dxa" w:w="110"/>
            </w:tcMar>
          </w:tcPr>
          <w:p>
            <w:pPr>
              <w:spacing w:after="0"/>
            </w:pPr>
            <w:r>
              <w:rPr>
                <w:b w:val="false"/>
                <w:bCs w:val="false"/>
              </w:rPr>
              <w:t xml:space="preserve">Demo + discussion</w:t>
            </w:r>
          </w:p>
        </w:tc>
      </w:tr>
      <w:tr>
        <w:tc>
          <w:tcPr>
            <w:tcW w:type="dxa" w:w="1400"/>
            <w:tcMar>
              <w:top w:type="dxa" w:w="60"/>
              <w:left w:type="dxa" w:w="110"/>
              <w:bottom w:type="dxa" w:w="60"/>
              <w:right w:type="dxa" w:w="110"/>
            </w:tcMar>
          </w:tcPr>
          <w:p>
            <w:pPr>
              <w:spacing w:after="0"/>
            </w:pPr>
            <w:r>
              <w:rPr>
                <w:b w:val="false"/>
                <w:bCs w:val="false"/>
              </w:rPr>
              <w:t xml:space="preserve">0:57–1:15</w:t>
            </w:r>
          </w:p>
        </w:tc>
        <w:tc>
          <w:tcPr>
            <w:tcW w:type="dxa" w:w="5626"/>
            <w:tcMar>
              <w:top w:type="dxa" w:w="60"/>
              <w:left w:type="dxa" w:w="110"/>
              <w:bottom w:type="dxa" w:w="60"/>
              <w:right w:type="dxa" w:w="110"/>
            </w:tcMar>
          </w:tcPr>
          <w:p>
            <w:pPr>
              <w:spacing w:after="0"/>
            </w:pPr>
            <w:r>
              <w:rPr>
                <w:b/>
                <w:bCs/>
              </w:rPr>
              <w:t xml:space="preserve">In-class assignment 2.2: Recreate structure on a real category</w:t>
            </w:r>
          </w:p>
        </w:tc>
        <w:tc>
          <w:tcPr>
            <w:tcW w:type="dxa" w:w="2000"/>
            <w:tcMar>
              <w:top w:type="dxa" w:w="60"/>
              <w:left w:type="dxa" w:w="110"/>
              <w:bottom w:type="dxa" w:w="60"/>
              <w:right w:type="dxa" w:w="110"/>
            </w:tcMar>
          </w:tcPr>
          <w:p>
            <w:pPr>
              <w:spacing w:after="0"/>
            </w:pPr>
            <w:r>
              <w:rPr>
                <w:b w:val="false"/>
                <w:bCs w:val="false"/>
              </w:rPr>
              <w:t xml:space="preserve">Hands-on, pairs</w:t>
            </w:r>
          </w:p>
        </w:tc>
      </w:tr>
      <w:tr>
        <w:tc>
          <w:tcPr>
            <w:tcW w:type="dxa" w:w="1400"/>
            <w:tcMar>
              <w:top w:type="dxa" w:w="60"/>
              <w:left w:type="dxa" w:w="110"/>
              <w:bottom w:type="dxa" w:w="60"/>
              <w:right w:type="dxa" w:w="110"/>
            </w:tcMar>
          </w:tcPr>
          <w:p>
            <w:pPr>
              <w:spacing w:after="0"/>
            </w:pPr>
            <w:r>
              <w:rPr>
                <w:b w:val="false"/>
                <w:bCs w:val="false"/>
              </w:rPr>
              <w:t xml:space="preserve">1:15–1:26</w:t>
            </w:r>
          </w:p>
        </w:tc>
        <w:tc>
          <w:tcPr>
            <w:tcW w:type="dxa" w:w="5626"/>
            <w:tcMar>
              <w:top w:type="dxa" w:w="60"/>
              <w:left w:type="dxa" w:w="110"/>
              <w:bottom w:type="dxa" w:w="60"/>
              <w:right w:type="dxa" w:w="110"/>
            </w:tcMar>
          </w:tcPr>
          <w:p>
            <w:pPr>
              <w:spacing w:after="0"/>
            </w:pPr>
            <w:r>
              <w:rPr>
                <w:b w:val="false"/>
                <w:bCs w:val="false"/>
              </w:rPr>
              <w:t xml:space="preserve">Theorizing and polishing: comparisons, power quotes, counter-evidence, export</w:t>
            </w:r>
          </w:p>
        </w:tc>
        <w:tc>
          <w:tcPr>
            <w:tcW w:type="dxa" w:w="2000"/>
            <w:tcMar>
              <w:top w:type="dxa" w:w="60"/>
              <w:left w:type="dxa" w:w="110"/>
              <w:bottom w:type="dxa" w:w="60"/>
              <w:right w:type="dxa" w:w="110"/>
            </w:tcMar>
          </w:tcPr>
          <w:p>
            <w:pPr>
              <w:spacing w:after="0"/>
            </w:pPr>
            <w:r>
              <w:rPr>
                <w:b w:val="false"/>
                <w:bCs w:val="false"/>
              </w:rPr>
              <w:t xml:space="preserve">Demo + discussion</w:t>
            </w:r>
          </w:p>
        </w:tc>
      </w:tr>
      <w:tr>
        <w:tc>
          <w:tcPr>
            <w:tcW w:type="dxa" w:w="1400"/>
            <w:tcMar>
              <w:top w:type="dxa" w:w="60"/>
              <w:left w:type="dxa" w:w="110"/>
              <w:bottom w:type="dxa" w:w="60"/>
              <w:right w:type="dxa" w:w="110"/>
            </w:tcMar>
          </w:tcPr>
          <w:p>
            <w:pPr>
              <w:spacing w:after="0"/>
            </w:pPr>
            <w:r>
              <w:rPr>
                <w:b w:val="false"/>
                <w:bCs w:val="false"/>
              </w:rPr>
              <w:t xml:space="preserve">1:26–1:30</w:t>
            </w:r>
          </w:p>
        </w:tc>
        <w:tc>
          <w:tcPr>
            <w:tcW w:type="dxa" w:w="5626"/>
            <w:tcMar>
              <w:top w:type="dxa" w:w="60"/>
              <w:left w:type="dxa" w:w="110"/>
              <w:bottom w:type="dxa" w:w="60"/>
              <w:right w:type="dxa" w:w="110"/>
            </w:tcMar>
          </w:tcPr>
          <w:p>
            <w:pPr>
              <w:spacing w:after="0"/>
            </w:pPr>
            <w:r>
              <w:rPr>
                <w:b w:val="false"/>
                <w:bCs w:val="false"/>
              </w:rPr>
              <w:t xml:space="preserve">Wrap-up and home assignment</w:t>
            </w:r>
          </w:p>
        </w:tc>
        <w:tc>
          <w:tcPr>
            <w:tcW w:type="dxa" w:w="2000"/>
            <w:tcMar>
              <w:top w:type="dxa" w:w="60"/>
              <w:left w:type="dxa" w:w="110"/>
              <w:bottom w:type="dxa" w:w="60"/>
              <w:right w:type="dxa" w:w="110"/>
            </w:tcMar>
          </w:tcPr>
          <w:p>
            <w:pPr>
              <w:spacing w:after="0"/>
            </w:pPr>
            <w:r>
              <w:rPr>
                <w:b w:val="false"/>
                <w:bCs w:val="false"/>
              </w:rPr>
              <w:t xml:space="preserve">Lecture</w:t>
            </w:r>
          </w:p>
        </w:tc>
      </w:tr>
    </w:tbl>
    <w:p>
      <w:pPr>
        <w:pStyle w:val="Heading2"/>
        <w:spacing w:after="120" w:before="280"/>
      </w:pPr>
      <w:r>
        <w:t xml:space="preserve">Lecture content and talking points</w:t>
      </w:r>
    </w:p>
    <w:p>
      <w:pPr>
        <w:pStyle w:val="Heading3"/>
        <w:spacing w:after="100" w:before="220"/>
      </w:pPr>
      <w:r>
        <w:t xml:space="preserve">1. Unpacking the home assignment (0:00–0:12)</w:t>
      </w:r>
    </w:p>
    <w:p>
      <w:pPr>
        <w:spacing w:after="120"/>
      </w:pPr>
      <w:r>
        <w:rPr>
          <w:b w:val="false"/>
          <w:bCs w:val="false"/>
          <w:i w:val="false"/>
          <w:iCs w:val="false"/>
        </w:rPr>
        <w:t xml:space="preserve">Open with the participants' own memos rather than with slides. Put the five-stage lifecycle on the board and ask groups of three to compare, stage by stage, what each person proposed to delegate and what each held back.</w:t>
      </w:r>
    </w:p>
    <w:p>
      <w:pPr>
        <w:spacing w:after="120"/>
      </w:pPr>
      <w:r>
        <w:rPr>
          <w:b/>
          <w:bCs/>
          <w:i w:val="false"/>
          <w:iCs w:val="false"/>
        </w:rPr>
        <w:t xml:space="preserve">What to listen for: </w:t>
      </w:r>
      <w:r>
        <w:rPr>
          <w:b w:val="false"/>
          <w:bCs w:val="false"/>
          <w:i w:val="false"/>
          <w:iCs w:val="false"/>
        </w:rPr>
        <w:t xml:space="preserve">stages where the group converges (transcription, metadata, first-pass coding usually) and stages where it splits (theorizing, almost always). The splits are the interesting part — surface two or three of them in plenary and ask what would have to be true for the other person's position to be right.</w:t>
      </w:r>
    </w:p>
    <w:p>
      <w:pPr>
        <w:spacing w:after="120"/>
      </w:pPr>
      <w:r>
        <w:rPr>
          <w:b/>
          <w:bCs/>
          <w:i w:val="false"/>
          <w:iCs w:val="false"/>
        </w:rPr>
        <w:t xml:space="preserve">Instructor note: </w:t>
      </w:r>
      <w:r>
        <w:rPr>
          <w:b w:val="false"/>
          <w:bCs w:val="false"/>
          <w:i w:val="false"/>
          <w:iCs w:val="false"/>
        </w:rPr>
        <w:t xml:space="preserve">this segment also tells you where the room is. If most memos are generic, slow down in segment 2 and press harder on the participants' own data during the exercises.</w:t>
      </w:r>
    </w:p>
    <w:p>
      <w:pPr>
        <w:pStyle w:val="Heading3"/>
        <w:spacing w:after="100" w:before="220"/>
      </w:pPr>
      <w:r>
        <w:t xml:space="preserve">2. The research cycle and two enduring concerns (0:12–0:22)</w:t>
      </w:r>
    </w:p>
    <w:p>
      <w:pPr>
        <w:spacing w:after="120"/>
      </w:pPr>
      <w:r>
        <w:rPr>
          <w:b w:val="false"/>
          <w:bCs w:val="false"/>
          <w:i w:val="false"/>
          <w:iCs w:val="false"/>
        </w:rPr>
        <w:t xml:space="preserve">Qualitative research is typically iterative, not linear: design, data generation and organizing, familiarization, theorizing, reporting — with constant loops back. Your task as the researcher is to orchestrate that process, decide when it is necessary to go back, and take responsibility for the choices and the outputs at every stage.</w:t>
      </w:r>
    </w:p>
    <w:p>
      <w:pPr>
        <w:spacing w:after="120"/>
      </w:pPr>
      <w:r>
        <w:rPr>
          <w:b/>
          <w:bCs/>
          <w:i w:val="false"/>
          <w:iCs w:val="false"/>
        </w:rPr>
        <w:t xml:space="preserve">Discussion prompt: </w:t>
      </w:r>
      <w:r>
        <w:rPr>
          <w:b w:val="false"/>
          <w:bCs w:val="false"/>
          <w:i w:val="false"/>
          <w:iCs w:val="false"/>
        </w:rPr>
        <w:t xml:space="preserve">why do we go back? Ask for examples from participants' own work — a revised interview guide, reorganised data, a rewritten narrative summary.</w:t>
      </w:r>
    </w:p>
    <w:p>
      <w:pPr>
        <w:spacing w:after="120"/>
      </w:pPr>
      <w:r>
        <w:rPr>
          <w:b w:val="false"/>
          <w:bCs w:val="false"/>
          <w:i w:val="false"/>
          <w:iCs w:val="false"/>
        </w:rPr>
        <w:t xml:space="preserve">Then the argument that carries the session: iteration is useful but painful. It is mired in sunk costs that stop researchers from abandoning work they have already done, and time pressure forces people to continue down a path they no longer believe in. The more automated the mechanical parts of the process are, the cheaper it becomes to rethink and to actually implement a better choice. That, more than speed, is what changes.</w:t>
      </w:r>
    </w:p>
    <w:p>
      <w:pPr>
        <w:spacing w:after="120"/>
      </w:pPr>
      <w:r>
        <w:rPr>
          <w:b/>
          <w:bCs/>
          <w:i w:val="false"/>
          <w:iCs w:val="false"/>
        </w:rPr>
        <w:t xml:space="preserve">Two enduring concerns, framed as questions to keep asking:</w:t>
      </w:r>
    </w:p>
    <w:p>
      <w:pPr>
        <w:pStyle w:val="ListParagraph"/>
        <w:numPr>
          <w:ilvl w:val="0"/>
          <w:numId w:val="1"/>
        </w:numPr>
        <w:spacing w:after="60"/>
      </w:pPr>
      <w:r>
        <w:rPr>
          <w:b/>
          <w:bCs/>
        </w:rPr>
        <w:t xml:space="preserve">Transparency — </w:t>
      </w:r>
      <w:r>
        <w:rPr>
          <w:b w:val="false"/>
          <w:bCs w:val="false"/>
        </w:rPr>
        <w:t xml:space="preserve">how do I maintain visibility into what the AI is doing, both for myself and for my audience? AI outputs are often unclear about how a conclusion was reached and what it rests on.</w:t>
      </w:r>
    </w:p>
    <w:p>
      <w:pPr>
        <w:pStyle w:val="ListParagraph"/>
        <w:numPr>
          <w:ilvl w:val="0"/>
          <w:numId w:val="1"/>
        </w:numPr>
        <w:spacing w:after="60"/>
      </w:pPr>
      <w:r>
        <w:rPr>
          <w:b/>
          <w:bCs/>
        </w:rPr>
        <w:t xml:space="preserve">Direction — </w:t>
      </w:r>
      <w:r>
        <w:rPr>
          <w:b w:val="false"/>
          <w:bCs w:val="false"/>
        </w:rPr>
        <w:t xml:space="preserve">is the AI pushing me somewhere, either because of model sycophancy following my implied intent, or because the tool itself is geared towards a particular output form (atheoretical, numbered lists, tidy symmetry)?</w:t>
      </w:r>
    </w:p>
    <w:p>
      <w:pPr>
        <w:spacing w:after="120"/>
      </w:pPr>
      <w:r>
        <w:rPr>
          <w:b/>
          <w:bCs/>
          <w:i w:val="false"/>
          <w:iCs w:val="false"/>
        </w:rPr>
        <w:t xml:space="preserve">Ask directly: </w:t>
      </w:r>
      <w:r>
        <w:rPr>
          <w:b w:val="false"/>
          <w:bCs w:val="false"/>
          <w:i w:val="false"/>
          <w:iCs w:val="false"/>
        </w:rPr>
        <w:t xml:space="preserve">when using AI tools, have you personally noticed these? Most participants have a story; it lands better than an assertion.</w:t>
      </w:r>
    </w:p>
    <w:p>
      <w:pPr>
        <w:pStyle w:val="Heading3"/>
        <w:spacing w:after="100" w:before="220"/>
      </w:pPr>
      <w:r>
        <w:t xml:space="preserve">3. Design and data generation (0:22–0:32)</w:t>
      </w:r>
    </w:p>
    <w:p>
      <w:pPr>
        <w:spacing w:after="120"/>
      </w:pPr>
      <w:r>
        <w:rPr>
          <w:b/>
          <w:bCs/>
          <w:i w:val="false"/>
          <w:iCs w:val="false"/>
        </w:rPr>
        <w:t xml:space="preserve">At the design stage, three uses, all of them generic-chatbot work rather than specialist tooling:</w:t>
      </w:r>
    </w:p>
    <w:p>
      <w:pPr>
        <w:pStyle w:val="ListParagraph"/>
        <w:numPr>
          <w:ilvl w:val="0"/>
          <w:numId w:val="6"/>
        </w:numPr>
        <w:spacing w:after="60"/>
      </w:pPr>
      <w:r>
        <w:rPr>
          <w:b/>
          <w:bCs/>
        </w:rPr>
        <w:t xml:space="preserve">Synthesise existing research and concepts </w:t>
      </w:r>
      <w:r>
        <w:rPr>
          <w:b w:val="false"/>
          <w:bCs w:val="false"/>
        </w:rPr>
        <w:t xml:space="preserve">(e.g. NotebookLM). AI summaries should not replace reading the articles, but they let you cover more alternative framings than you otherwise would.</w:t>
      </w:r>
    </w:p>
    <w:p>
      <w:pPr>
        <w:pStyle w:val="ListParagraph"/>
        <w:numPr>
          <w:ilvl w:val="0"/>
          <w:numId w:val="6"/>
        </w:numPr>
        <w:spacing w:after="60"/>
      </w:pPr>
      <w:r>
        <w:rPr>
          <w:b/>
          <w:bCs/>
        </w:rPr>
        <w:t xml:space="preserve">Familiarise yourself with the research context </w:t>
      </w:r>
      <w:r>
        <w:rPr>
          <w:b w:val="false"/>
          <w:bCs w:val="false"/>
        </w:rPr>
        <w:t xml:space="preserve">(general chatbots). Asking about the industry, the regulation, the technical vocabulary beforehand keeps you from spending interview time on common-sense ground, so you can get into the more interesting dynamics.</w:t>
      </w:r>
    </w:p>
    <w:p>
      <w:pPr>
        <w:pStyle w:val="ListParagraph"/>
        <w:numPr>
          <w:ilvl w:val="0"/>
          <w:numId w:val="6"/>
        </w:numPr>
        <w:spacing w:after="60"/>
      </w:pPr>
      <w:r>
        <w:rPr>
          <w:b/>
          <w:bCs/>
        </w:rPr>
        <w:t xml:space="preserve">Get feedback on your interview guide. </w:t>
      </w:r>
      <w:r>
        <w:rPr>
          <w:b w:val="false"/>
          <w:bCs w:val="false"/>
        </w:rPr>
        <w:t xml:space="preserve">"Review this interview protocol, provide criticism and improvement suggestions." AI is genuinely good at flagging leading questions. The general principle throughout: provide relevant data, ask neutral questions, push back.</w:t>
      </w:r>
    </w:p>
    <w:p>
      <w:pPr>
        <w:spacing w:after="120"/>
      </w:pPr>
      <w:r>
        <w:rPr>
          <w:b/>
          <w:bCs/>
          <w:i w:val="false"/>
          <w:iCs w:val="false"/>
        </w:rPr>
        <w:t xml:space="preserve">On building the dataset itself, be blunt about the limits:</w:t>
      </w:r>
    </w:p>
    <w:p>
      <w:pPr>
        <w:pStyle w:val="ListParagraph"/>
        <w:numPr>
          <w:ilvl w:val="0"/>
          <w:numId w:val="1"/>
        </w:numPr>
        <w:spacing w:after="60"/>
      </w:pPr>
      <w:r>
        <w:rPr>
          <w:b/>
          <w:bCs/>
        </w:rPr>
        <w:t xml:space="preserve">Synthetic data — </w:t>
      </w:r>
      <w:r>
        <w:rPr>
          <w:b w:val="false"/>
          <w:bCs w:val="false"/>
        </w:rPr>
        <w:t xml:space="preserve">interviewing a chatbot to create example interviews. Careful: this is not real data and carries strange biases. Useful in market research; it lacks legitimacy in academia.</w:t>
      </w:r>
    </w:p>
    <w:p>
      <w:pPr>
        <w:pStyle w:val="ListParagraph"/>
        <w:numPr>
          <w:ilvl w:val="0"/>
          <w:numId w:val="1"/>
        </w:numPr>
        <w:spacing w:after="60"/>
      </w:pPr>
      <w:r>
        <w:rPr>
          <w:b/>
          <w:bCs/>
        </w:rPr>
        <w:t xml:space="preserve">AI interviewers — </w:t>
      </w:r>
      <w:r>
        <w:rPr>
          <w:b w:val="false"/>
          <w:bCs w:val="false"/>
        </w:rPr>
        <w:t xml:space="preserve">workable for factual data at large sample sizes; unsuited to interpretive research where human connection is what produces the good material.</w:t>
      </w:r>
    </w:p>
    <w:p>
      <w:pPr>
        <w:pStyle w:val="ListParagraph"/>
        <w:numPr>
          <w:ilvl w:val="0"/>
          <w:numId w:val="1"/>
        </w:numPr>
        <w:spacing w:after="60"/>
      </w:pPr>
      <w:r>
        <w:rPr>
          <w:b/>
          <w:bCs/>
        </w:rPr>
        <w:t xml:space="preserve">Metadata — </w:t>
      </w:r>
      <w:r>
        <w:rPr>
          <w:b w:val="false"/>
          <w:bCs w:val="false"/>
        </w:rPr>
        <w:t xml:space="preserve">generate with AI, then verify for every document. Organisational role, unit, reporting line: AI can usually detect all of this automatically.</w:t>
      </w:r>
    </w:p>
    <w:p>
      <w:pPr>
        <w:pStyle w:val="ListParagraph"/>
        <w:numPr>
          <w:ilvl w:val="0"/>
          <w:numId w:val="1"/>
        </w:numPr>
        <w:spacing w:after="60"/>
      </w:pPr>
      <w:r>
        <w:rPr>
          <w:b/>
          <w:bCs/>
        </w:rPr>
        <w:t xml:space="preserve">Other features — </w:t>
      </w:r>
      <w:r>
        <w:rPr>
          <w:b w:val="false"/>
          <w:bCs w:val="false"/>
        </w:rPr>
        <w:t xml:space="preserve">topics, people, events, places discussed in each document; often generated automatically.</w:t>
      </w:r>
    </w:p>
    <w:p>
      <w:pPr>
        <w:spacing w:after="120"/>
      </w:pPr>
      <w:r>
        <w:rPr>
          <w:b/>
          <w:bCs/>
          <w:i w:val="false"/>
          <w:iCs w:val="false"/>
        </w:rPr>
        <w:t xml:space="preserve">Setup for the hands-on half. </w:t>
      </w:r>
      <w:r>
        <w:rPr>
          <w:b w:val="false"/>
          <w:bCs w:val="false"/>
          <w:i w:val="false"/>
          <w:iCs w:val="false"/>
        </w:rPr>
        <w:t xml:space="preserve">Have everyone go to skimle.com, log in, create a new project, click "Try a demo dataset", and pick </w:t>
      </w:r>
      <w:r>
        <w:rPr>
          <w:b/>
          <w:bCs/>
          <w:i w:val="false"/>
          <w:iCs w:val="false"/>
        </w:rPr>
        <w:t xml:space="preserve">Consulting demo: Big trouble at BigBank</w:t>
      </w:r>
      <w:r>
        <w:rPr>
          <w:b w:val="false"/>
          <w:bCs w:val="false"/>
          <w:i w:val="false"/>
          <w:iCs w:val="false"/>
        </w:rPr>
        <w:t xml:space="preserve">. If you asked participants to do this in advance, use the time to help whoever failed.</w:t>
      </w:r>
    </w:p>
    <w:p>
      <w:pPr>
        <w:pStyle w:val="Heading3"/>
        <w:spacing w:after="100" w:before="220"/>
      </w:pPr>
      <w:r>
        <w:t xml:space="preserve">4. Familiarization: two kinds of coding (0:47–0:57)</w:t>
      </w:r>
    </w:p>
    <w:p>
      <w:pPr>
        <w:spacing w:after="120"/>
      </w:pPr>
      <w:r>
        <w:rPr>
          <w:b/>
          <w:bCs/>
          <w:i w:val="false"/>
          <w:iCs w:val="false"/>
        </w:rPr>
        <w:t xml:space="preserve">Identified themes </w:t>
      </w:r>
      <w:r>
        <w:rPr>
          <w:b w:val="false"/>
          <w:bCs w:val="false"/>
          <w:i w:val="false"/>
          <w:iCs w:val="false"/>
        </w:rPr>
        <w:t xml:space="preserve">works across the material and finds common themes that cut across documents — a descriptive coding of the main topics discussed. It suits initial cataloguing of your data.</w:t>
      </w:r>
    </w:p>
    <w:p>
      <w:pPr>
        <w:spacing w:after="120"/>
      </w:pPr>
      <w:r>
        <w:rPr>
          <w:b/>
          <w:bCs/>
          <w:i w:val="false"/>
          <w:iCs w:val="false"/>
        </w:rPr>
        <w:t xml:space="preserve">Predefined categories </w:t>
      </w:r>
      <w:r>
        <w:rPr>
          <w:b w:val="false"/>
          <w:bCs w:val="false"/>
          <w:i w:val="false"/>
          <w:iCs w:val="false"/>
        </w:rPr>
        <w:t xml:space="preserve">lets you define exactly what you want coded. After the initial pass, each category is split into parsimonious subcategories. The analysis also has a </w:t>
      </w:r>
      <w:r>
        <w:rPr>
          <w:b/>
          <w:bCs/>
          <w:i w:val="false"/>
          <w:iCs w:val="false"/>
        </w:rPr>
        <w:t xml:space="preserve">broad mode</w:t>
      </w:r>
      <w:r>
        <w:rPr>
          <w:b w:val="false"/>
          <w:bCs w:val="false"/>
          <w:i w:val="false"/>
          <w:iCs w:val="false"/>
        </w:rPr>
        <w:t xml:space="preserve"> that codes everything even remotely connected to your interest, accepting false positives in exchange for not missing weak signals — implied, between-the-lines criticism of leadership, for instance.</w:t>
      </w:r>
    </w:p>
    <w:p>
      <w:pPr>
        <w:spacing w:after="120"/>
      </w:pPr>
      <w:r>
        <w:rPr>
          <w:b/>
          <w:bCs/>
          <w:i w:val="false"/>
          <w:iCs w:val="false"/>
        </w:rPr>
        <w:t xml:space="preserve">Demo and discussion. </w:t>
      </w:r>
      <w:r>
        <w:rPr>
          <w:b w:val="false"/>
          <w:bCs w:val="false"/>
          <w:i w:val="false"/>
          <w:iCs w:val="false"/>
        </w:rPr>
        <w:t xml:space="preserve">In the BigBank project, open Categories in the left-hand menu, browse the category tree, and put the question to the room: is this a real qualitative analysis? Are these initial category structures useful, and if so for what? What would be needed to turn this into a qualitative study?</w:t>
      </w:r>
    </w:p>
    <w:p>
      <w:pPr>
        <w:spacing w:after="120"/>
      </w:pPr>
      <w:r>
        <w:rPr>
          <w:b/>
          <w:bCs/>
          <w:i w:val="false"/>
          <w:iCs w:val="false"/>
        </w:rPr>
        <w:t xml:space="preserve">Instructor note: </w:t>
      </w:r>
      <w:r>
        <w:rPr>
          <w:b w:val="false"/>
          <w:bCs w:val="false"/>
          <w:i w:val="false"/>
          <w:iCs w:val="false"/>
        </w:rPr>
        <w:t xml:space="preserve">when participants look at the category summaries and the quote tables, it is plainly a real qualitative analysis — just not a very insightful one. The fair criticism is the absence of any interesting perspective: the categories take stock, descriptively, of what was talked about. And yet this is often very useful. It shows what is said, who talks about what, and the volume of material on each topic. It is a good starting point for a theoretically informed analysis, and a bad ending point.</w:t>
      </w:r>
    </w:p>
    <w:p>
      <w:pPr>
        <w:spacing w:after="120"/>
      </w:pPr>
      <w:r>
        <w:rPr>
          <w:b/>
          <w:bCs/>
          <w:i w:val="false"/>
          <w:iCs w:val="false"/>
        </w:rPr>
        <w:t xml:space="preserve">Do not have participants launch focused coding during class </w:t>
      </w:r>
      <w:r>
        <w:rPr>
          <w:b w:val="false"/>
          <w:bCs w:val="false"/>
          <w:i w:val="false"/>
          <w:iCs w:val="false"/>
        </w:rPr>
        <w:t xml:space="preserve">— parallel analyses queue. Show yours instead, and tell them to try it afterwards: a quick skim of the BigBank material for the kinds of negative emotions present.</w:t>
      </w:r>
    </w:p>
    <w:p>
      <w:pPr>
        <w:pStyle w:val="Heading3"/>
        <w:spacing w:after="100" w:before="220"/>
      </w:pPr>
      <w:r>
        <w:t xml:space="preserve">5. Theorizing and polishing (1:15–1:26)</w:t>
      </w:r>
    </w:p>
    <w:p>
      <w:pPr>
        <w:spacing w:after="120"/>
      </w:pPr>
      <w:r>
        <w:rPr>
          <w:b w:val="false"/>
          <w:bCs w:val="false"/>
          <w:i w:val="false"/>
          <w:iCs w:val="false"/>
        </w:rPr>
        <w:t xml:space="preserve">A central goal in qualitative research is to fit empirical data into an existing theoretical conversation in a way that yields a more abstract contribution. Scholars differ in approach — some analyse thoroughly and then look for the theoretical connection, others hunt for gaps early. One of the real advantages of AI is the speed at which you can try different theoretical framings on your data to find gaps, anomalies, and puzzles.</w:t>
      </w:r>
    </w:p>
    <w:p>
      <w:pPr>
        <w:spacing w:after="120"/>
      </w:pPr>
      <w:r>
        <w:rPr>
          <w:b/>
          <w:bCs/>
          <w:i w:val="false"/>
          <w:iCs w:val="false"/>
        </w:rPr>
        <w:t xml:space="preserve">Four moves, demonstrated quickly:</w:t>
      </w:r>
    </w:p>
    <w:p>
      <w:pPr>
        <w:pStyle w:val="ListParagraph"/>
        <w:numPr>
          <w:ilvl w:val="0"/>
          <w:numId w:val="1"/>
        </w:numPr>
        <w:spacing w:after="60"/>
      </w:pPr>
      <w:r>
        <w:rPr>
          <w:b/>
          <w:bCs/>
        </w:rPr>
        <w:t xml:space="preserve">Chatting with the data. </w:t>
      </w:r>
      <w:r>
        <w:rPr>
          <w:b w:val="false"/>
          <w:bCs w:val="false"/>
        </w:rPr>
        <w:t xml:space="preserve">All AI tools let you ask questions of your material; agentic systems can also reshape the category structure and labels on instruction. The advantage is that LLMs "know" the common theories, which is what lets them put your data into dialogue with theory. Skimle additionally verifies quote accuracy in chat — currently it flags an abridged or altered verbatim quote with a warning rather than correcting it.</w:t>
      </w:r>
    </w:p>
    <w:p>
      <w:pPr>
        <w:pStyle w:val="ListParagraph"/>
        <w:numPr>
          <w:ilvl w:val="0"/>
          <w:numId w:val="1"/>
        </w:numPr>
        <w:spacing w:after="60"/>
      </w:pPr>
      <w:r>
        <w:rPr>
          <w:b/>
          <w:bCs/>
        </w:rPr>
        <w:t xml:space="preserve">Predefined categories for theory-driven coding. </w:t>
      </w:r>
      <w:r>
        <w:rPr>
          <w:b w:val="false"/>
          <w:bCs w:val="false"/>
        </w:rPr>
        <w:t xml:space="preserve">AI generally handles theoretical concepts well, but elaborate the instructions where competing definitions exist. Because relevant quotes often need interpretation, it is usually better to capture broadly and weed out afterwards — for prospective sensemaking, for example, prompt for all quotes that interpret or predict the future.</w:t>
      </w:r>
    </w:p>
    <w:p>
      <w:pPr>
        <w:pStyle w:val="ListParagraph"/>
        <w:numPr>
          <w:ilvl w:val="0"/>
          <w:numId w:val="1"/>
        </w:numPr>
        <w:spacing w:after="60"/>
      </w:pPr>
      <w:r>
        <w:rPr>
          <w:b/>
          <w:bCs/>
        </w:rPr>
        <w:t xml:space="preserve">Recreate structure. </w:t>
      </w:r>
      <w:r>
        <w:rPr>
          <w:b w:val="false"/>
          <w:bCs w:val="false"/>
        </w:rPr>
        <w:t xml:space="preserve">Redistribute all insights and their quotes into a new set of categories matching your theoretical vision. In Categories view, tick the box next to a category, click Recreate structure below the tree, choose one of the AI-suggested logics or write your own instructions, then edit the proposed categories before assigning insights.</w:t>
      </w:r>
    </w:p>
    <w:p>
      <w:pPr>
        <w:pStyle w:val="ListParagraph"/>
        <w:numPr>
          <w:ilvl w:val="0"/>
          <w:numId w:val="1"/>
        </w:numPr>
        <w:spacing w:after="60"/>
      </w:pPr>
      <w:r>
        <w:rPr>
          <w:b/>
          <w:bCs/>
        </w:rPr>
        <w:t xml:space="preserve">Structured comparisons. </w:t>
      </w:r>
      <w:r>
        <w:rPr>
          <w:b w:val="false"/>
          <w:bCs w:val="false"/>
        </w:rPr>
        <w:t xml:space="preserve">In the pre-AI era, comparing coding across interviews was often misleading, because researchers did not code each interview with the same effort — spending more time on the richest informants is entirely rational in organic coding. Because AI codes every document with equal effort, comparisons over time, across roles, or across demographics carry far more weight. Try the Visualizations view (metadata or comparisons submenu) to see how categories vary across countries in the identified-themes tree.</w:t>
      </w:r>
    </w:p>
    <w:p>
      <w:pPr>
        <w:spacing w:after="120"/>
      </w:pPr>
      <w:r>
        <w:rPr>
          <w:b/>
          <w:bCs/>
          <w:i w:val="false"/>
          <w:iCs w:val="false"/>
        </w:rPr>
        <w:t xml:space="preserve">Polishing. </w:t>
      </w:r>
      <w:r>
        <w:rPr>
          <w:b w:val="false"/>
          <w:bCs w:val="false"/>
          <w:i w:val="false"/>
          <w:iCs w:val="false"/>
        </w:rPr>
        <w:t xml:space="preserve">Michael Pratt's </w:t>
      </w:r>
      <w:r>
        <w:rPr>
          <w:b/>
          <w:bCs/>
          <w:i w:val="false"/>
          <w:iCs w:val="false"/>
        </w:rPr>
        <w:t xml:space="preserve">power quotes</w:t>
      </w:r>
      <w:r>
        <w:rPr>
          <w:b w:val="false"/>
          <w:bCs w:val="false"/>
          <w:i w:val="false"/>
          <w:iCs w:val="false"/>
        </w:rPr>
        <w:t xml:space="preserve"> — quotes that stand on their own and illustrate the argument — are not necessary for developing theory, but they are what convinces a reader. Systematic coverage of the material is exactly what makes AI good at surfacing them. In Skimle you can tag power quotes from any view, and export all quotes by category to Word or Excel via the Export Center, filtered by tag.</w:t>
      </w:r>
    </w:p>
    <w:p>
      <w:pPr>
        <w:spacing w:after="120"/>
      </w:pPr>
      <w:r>
        <w:rPr>
          <w:b/>
          <w:bCs/>
          <w:i w:val="false"/>
          <w:iCs w:val="false"/>
        </w:rPr>
        <w:t xml:space="preserve">Evidence and counter-evidence. </w:t>
      </w:r>
      <w:r>
        <w:rPr>
          <w:b w:val="false"/>
          <w:bCs w:val="false"/>
          <w:i w:val="false"/>
          <w:iCs w:val="false"/>
        </w:rPr>
        <w:t xml:space="preserve">Illustrate every key element of your model with quotes from three or more informants. Assess alternative explanations and the credibility of informants. AI cannot ultimately tell you whether to believe a specific informant — self-serving bias, retrospective attribution — but it organises the evidence, and agentic analysis prompted to explain your key outcome will quickly surface diverse alternative explanations. That should not substitute for your own analysis; it should raise or lower your confidence in it.</w:t>
      </w:r>
    </w:p>
    <w:p>
      <w:pPr>
        <w:pStyle w:val="Heading3"/>
        <w:spacing w:after="100" w:before="220"/>
      </w:pPr>
      <w:r>
        <w:t xml:space="preserve">6. Wrap-up (1:26–1:30)</w:t>
      </w:r>
    </w:p>
    <w:p>
      <w:pPr>
        <w:spacing w:after="120"/>
      </w:pPr>
      <w:r>
        <w:rPr>
          <w:b w:val="false"/>
          <w:bCs w:val="false"/>
          <w:i w:val="false"/>
          <w:iCs w:val="false"/>
        </w:rPr>
        <w:t xml:space="preserve">Close on responsibility rather than capability. You remain accountable for every category label and every quote. Transparency between inputs and outputs is not a property the tool gives you — it is created by your active investigation. Watch for sycophancy: the model is trying to confirm your assumptions. And the goal of analysis is not to make sense of every last observation, but to offer a compelling perspective — which means some subcategories will be abandoned, and that is success rather than waste.</w:t>
      </w:r>
    </w:p>
    <w:p>
      <w:pPr>
        <w:pStyle w:val="Heading2"/>
        <w:spacing w:after="120" w:before="280"/>
      </w:pPr>
      <w:r>
        <w:t xml:space="preserve">In-class assignment 2.1 — Metadata sprint: generate, then verify (15 min, pairs)</w:t>
      </w:r>
    </w:p>
    <w:p>
      <w:pPr>
        <w:spacing w:after="120"/>
      </w:pPr>
      <w:r>
        <w:rPr>
          <w:b/>
          <w:bCs/>
          <w:i/>
          <w:iCs/>
        </w:rPr>
        <w:t xml:space="preserve">Materials: </w:t>
      </w:r>
      <w:r>
        <w:rPr>
          <w:b w:val="false"/>
          <w:bCs w:val="false"/>
          <w:i/>
          <w:iCs/>
        </w:rPr>
        <w:t xml:space="preserve">each participant's own BigBank demo project, open in Skimle.</w:t>
      </w:r>
    </w:p>
    <w:p>
      <w:pPr>
        <w:pStyle w:val="ListParagraph"/>
        <w:numPr>
          <w:ilvl w:val="0"/>
          <w:numId w:val="7"/>
        </w:numPr>
        <w:spacing w:after="60"/>
      </w:pPr>
      <w:r>
        <w:rPr>
          <w:b/>
          <w:bCs/>
        </w:rPr>
        <w:t xml:space="preserve">(5 min) </w:t>
      </w:r>
      <w:r>
        <w:rPr>
          <w:b w:val="false"/>
          <w:bCs w:val="false"/>
        </w:rPr>
        <w:t xml:space="preserve">Open Metadata in the left-hand menu, click Add new metadata field, and create a field the AI must assess for every document. Use "Attitude towards MaxBoss" if you want a shared reference point, or invent one — tenure band, unit, stance on the restructuring. Save, then wait; refreshing the browser after a moment shows the values filling in.</w:t>
      </w:r>
    </w:p>
    <w:p>
      <w:pPr>
        <w:pStyle w:val="ListParagraph"/>
        <w:numPr>
          <w:ilvl w:val="0"/>
          <w:numId w:val="7"/>
        </w:numPr>
        <w:spacing w:after="60"/>
      </w:pPr>
      <w:r>
        <w:rPr>
          <w:b/>
          <w:bCs/>
        </w:rPr>
        <w:t xml:space="preserve">(6 min) </w:t>
      </w:r>
      <w:r>
        <w:rPr>
          <w:b w:val="false"/>
          <w:bCs w:val="false"/>
        </w:rPr>
        <w:t xml:space="preserve">Verification, which is the real exercise. Pick three documents and check the assigned value against what the document actually says. Where the AI is wrong, work out </w:t>
      </w:r>
      <w:r>
        <w:rPr>
          <w:b/>
          <w:bCs/>
        </w:rPr>
        <w:t xml:space="preserve">why</w:t>
      </w:r>
      <w:r>
        <w:rPr>
          <w:b w:val="false"/>
          <w:bCs w:val="false"/>
        </w:rPr>
        <w:t xml:space="preserve"> — an ambiguous field definition, a genuinely ambivalent informant, or a real error.</w:t>
      </w:r>
    </w:p>
    <w:p>
      <w:pPr>
        <w:pStyle w:val="ListParagraph"/>
        <w:numPr>
          <w:ilvl w:val="0"/>
          <w:numId w:val="7"/>
        </w:numPr>
        <w:spacing w:after="60"/>
      </w:pPr>
      <w:r>
        <w:rPr>
          <w:b/>
          <w:bCs/>
        </w:rPr>
        <w:t xml:space="preserve">(4 min, plenary) </w:t>
      </w:r>
      <w:r>
        <w:rPr>
          <w:b w:val="false"/>
          <w:bCs w:val="false"/>
        </w:rPr>
        <w:t xml:space="preserve">Report the failure modes, not the success rate. Then discuss: why would you want a field like this at all? The answer is that metadata lets you organise informants and observations — you can see how the interviews of people who like MaxBoss differ from those who do not, once the data is organised that way. Mention that Export metadata and Import metadata let you manage background variables in Excel, so tenure, gender or position can be recorded even when they are never discussed in the interviews.</w:t>
      </w:r>
    </w:p>
    <w:p>
      <w:pPr>
        <w:pStyle w:val="Heading2"/>
        <w:spacing w:after="120" w:before="280"/>
      </w:pPr>
      <w:r>
        <w:t xml:space="preserve">In-class assignment 2.2 — Recreate structure on a real category (18 min, pairs)</w:t>
      </w:r>
    </w:p>
    <w:p>
      <w:pPr>
        <w:spacing w:after="120"/>
      </w:pPr>
      <w:r>
        <w:rPr>
          <w:b/>
          <w:bCs/>
          <w:i/>
          <w:iCs/>
        </w:rPr>
        <w:t xml:space="preserve">Materials: </w:t>
      </w:r>
      <w:r>
        <w:rPr>
          <w:b w:val="false"/>
          <w:bCs w:val="false"/>
          <w:i/>
          <w:iCs/>
        </w:rPr>
        <w:t xml:space="preserve">the BigBank demo project; Categories view.</w:t>
      </w:r>
    </w:p>
    <w:p>
      <w:pPr>
        <w:spacing w:after="120"/>
      </w:pPr>
      <w:r>
        <w:rPr>
          <w:b w:val="false"/>
          <w:bCs w:val="false"/>
          <w:i w:val="false"/>
          <w:iCs w:val="false"/>
        </w:rPr>
        <w:t xml:space="preserve">The task is to take one category in the consulting project and restructure it in a theoretically interesting way.</w:t>
      </w:r>
    </w:p>
    <w:p>
      <w:pPr>
        <w:pStyle w:val="ListParagraph"/>
        <w:numPr>
          <w:ilvl w:val="0"/>
          <w:numId w:val="8"/>
        </w:numPr>
        <w:spacing w:after="60"/>
      </w:pPr>
      <w:r>
        <w:rPr>
          <w:b/>
          <w:bCs/>
        </w:rPr>
        <w:t xml:space="preserve">(4 min) </w:t>
      </w:r>
      <w:r>
        <w:rPr>
          <w:b w:val="false"/>
          <w:bCs w:val="false"/>
        </w:rPr>
        <w:t xml:space="preserve">Choose a category with more than 30 insights — </w:t>
      </w:r>
      <w:r>
        <w:rPr>
          <w:b/>
          <w:bCs/>
        </w:rPr>
        <w:t xml:space="preserve">Priorities for AI deployment</w:t>
      </w:r>
      <w:r>
        <w:rPr>
          <w:b w:val="false"/>
          <w:bCs w:val="false"/>
        </w:rPr>
        <w:t xml:space="preserve">, </w:t>
      </w:r>
      <w:r>
        <w:rPr>
          <w:b/>
          <w:bCs/>
        </w:rPr>
        <w:t xml:space="preserve">Siloed structure of BigBank</w:t>
      </w:r>
      <w:r>
        <w:rPr>
          <w:b w:val="false"/>
          <w:bCs w:val="false"/>
        </w:rPr>
        <w:t xml:space="preserve">, or </w:t>
      </w:r>
      <w:r>
        <w:rPr>
          <w:b/>
          <w:bCs/>
        </w:rPr>
        <w:t xml:space="preserve">Risks and governance</w:t>
      </w:r>
      <w:r>
        <w:rPr>
          <w:b w:val="false"/>
          <w:bCs w:val="false"/>
        </w:rPr>
        <w:t xml:space="preserve">. Select it in the tree and read the existing summary and the table of quotes.</w:t>
      </w:r>
    </w:p>
    <w:p>
      <w:pPr>
        <w:pStyle w:val="ListParagraph"/>
        <w:numPr>
          <w:ilvl w:val="0"/>
          <w:numId w:val="8"/>
        </w:numPr>
        <w:spacing w:after="60"/>
      </w:pPr>
      <w:r>
        <w:rPr>
          <w:b/>
          <w:bCs/>
        </w:rPr>
        <w:t xml:space="preserve">(4 min) </w:t>
      </w:r>
      <w:r>
        <w:rPr>
          <w:b w:val="false"/>
          <w:bCs w:val="false"/>
        </w:rPr>
        <w:t xml:space="preserve">Before touching the tool, decide with your partner: is there a theoretically interesting way to organise these observations? Write your intended logic down in one sentence.</w:t>
      </w:r>
    </w:p>
    <w:p>
      <w:pPr>
        <w:pStyle w:val="ListParagraph"/>
        <w:numPr>
          <w:ilvl w:val="0"/>
          <w:numId w:val="8"/>
        </w:numPr>
        <w:spacing w:after="60"/>
      </w:pPr>
      <w:r>
        <w:rPr>
          <w:b/>
          <w:bCs/>
        </w:rPr>
        <w:t xml:space="preserve">(5 min) </w:t>
      </w:r>
      <w:r>
        <w:rPr>
          <w:b w:val="false"/>
          <w:bCs w:val="false"/>
        </w:rPr>
        <w:t xml:space="preserve">Click Recreate structure, either choosing one of the AI-suggested logics or entering your own instructions, edit the proposed categories, and implement the new structure. The instructor's worked example — restructuring </w:t>
      </w:r>
      <w:r>
        <w:rPr>
          <w:b/>
          <w:bCs/>
        </w:rPr>
        <w:t xml:space="preserve">Risks and governance</w:t>
      </w:r>
      <w:r>
        <w:rPr>
          <w:b w:val="false"/>
          <w:bCs w:val="false"/>
        </w:rPr>
        <w:t xml:space="preserve"> by "detection and prevention timing" — is a useful reference if a pair stalls.</w:t>
      </w:r>
    </w:p>
    <w:p>
      <w:pPr>
        <w:pStyle w:val="ListParagraph"/>
        <w:numPr>
          <w:ilvl w:val="0"/>
          <w:numId w:val="8"/>
        </w:numPr>
        <w:spacing w:after="60"/>
      </w:pPr>
      <w:r>
        <w:rPr>
          <w:b/>
          <w:bCs/>
        </w:rPr>
        <w:t xml:space="preserve">(5 min) </w:t>
      </w:r>
      <w:r>
        <w:rPr>
          <w:b w:val="false"/>
          <w:bCs w:val="false"/>
        </w:rPr>
        <w:t xml:space="preserve">Read the first quotes in each new subcategory. Are they compelling? Does the more theoretical focus add anything to your understanding of what is happening at BigBank? Check the size of the miscellaneous category — it is a rough indicator of how well your scheme actually fits the data.</w:t>
      </w:r>
    </w:p>
    <w:p>
      <w:pPr>
        <w:spacing w:after="120"/>
      </w:pPr>
      <w:r>
        <w:rPr>
          <w:b/>
          <w:bCs/>
          <w:i w:val="false"/>
          <w:iCs w:val="false"/>
        </w:rPr>
        <w:t xml:space="preserve">Instructor note: </w:t>
      </w:r>
      <w:r>
        <w:rPr>
          <w:b w:val="false"/>
          <w:bCs w:val="false"/>
          <w:i w:val="false"/>
          <w:iCs w:val="false"/>
        </w:rPr>
        <w:t xml:space="preserve">the point participants most need to reach is that some of the new subcategories are irrelevant and should simply be abandoned. The goal of analysis is not to account for all the data; it is to offer a compelling perspective. A pair that produces a tidy scheme covering everything has usually produced a descriptive one.</w:t>
      </w:r>
    </w:p>
    <w:p>
      <w:pPr>
        <w:pStyle w:val="Heading2"/>
        <w:spacing w:after="120" w:before="280"/>
      </w:pPr>
      <w:r>
        <w:t xml:space="preserve">Post-session assignment 2 — Code data and build a theoretical argument (3–5 hours)</w:t>
      </w:r>
    </w:p>
    <w:p>
      <w:pPr>
        <w:pStyle w:val="ListParagraph"/>
        <w:numPr>
          <w:ilvl w:val="0"/>
          <w:numId w:val="9"/>
        </w:numPr>
        <w:spacing w:after="60"/>
      </w:pPr>
      <w:r>
        <w:rPr>
          <w:b/>
          <w:bCs/>
        </w:rPr>
        <w:t xml:space="preserve">Assemble a small corpus. </w:t>
      </w:r>
      <w:r>
        <w:rPr>
          <w:b w:val="false"/>
          <w:bCs w:val="false"/>
        </w:rPr>
        <w:t xml:space="preserve">Find 8–10 news articles on a timely topic from 2–3 different kinds of news outlet. A politically contested topic covered by outlets with opposing leanings works best.</w:t>
      </w:r>
    </w:p>
    <w:p>
      <w:pPr>
        <w:pStyle w:val="ListParagraph"/>
        <w:numPr>
          <w:ilvl w:val="0"/>
          <w:numId w:val="9"/>
        </w:numPr>
        <w:spacing w:after="60"/>
      </w:pPr>
      <w:r>
        <w:rPr>
          <w:b/>
          <w:bCs/>
        </w:rPr>
        <w:t xml:space="preserve">Set up the project. </w:t>
      </w:r>
      <w:r>
        <w:rPr>
          <w:b w:val="false"/>
          <w:bCs w:val="false"/>
        </w:rPr>
        <w:t xml:space="preserve">Upload the articles to Skimle and record the outlet as a metadata field in Metadata view.</w:t>
      </w:r>
    </w:p>
    <w:p>
      <w:pPr>
        <w:pStyle w:val="ListParagraph"/>
        <w:numPr>
          <w:ilvl w:val="0"/>
          <w:numId w:val="9"/>
        </w:numPr>
        <w:spacing w:after="60"/>
      </w:pPr>
      <w:r>
        <w:rPr>
          <w:b/>
          <w:bCs/>
        </w:rPr>
        <w:t xml:space="preserve">Code with a perspective. </w:t>
      </w:r>
      <w:r>
        <w:rPr>
          <w:b w:val="false"/>
          <w:bCs w:val="false"/>
        </w:rPr>
        <w:t xml:space="preserve">Code from the angle of political viewpoint, rhetorical or narrative tropes, or the way key actors are portrayed. Because AI coding is effectively free, experiment with more than one way of coding the same material.</w:t>
      </w:r>
    </w:p>
    <w:p>
      <w:pPr>
        <w:pStyle w:val="ListParagraph"/>
        <w:numPr>
          <w:ilvl w:val="0"/>
          <w:numId w:val="9"/>
        </w:numPr>
        <w:spacing w:after="60"/>
      </w:pPr>
      <w:r>
        <w:rPr>
          <w:b/>
          <w:bCs/>
        </w:rPr>
        <w:t xml:space="preserve">Build a category tree. </w:t>
      </w:r>
      <w:r>
        <w:rPr>
          <w:b w:val="false"/>
          <w:bCs w:val="false"/>
        </w:rPr>
        <w:t xml:space="preserve">Use predefined categories and/or Recreate structure to arrive at a tree that highlights the interesting dynamics rather than merely cataloguing the coverage.</w:t>
      </w:r>
    </w:p>
    <w:p>
      <w:pPr>
        <w:pStyle w:val="ListParagraph"/>
        <w:numPr>
          <w:ilvl w:val="0"/>
          <w:numId w:val="9"/>
        </w:numPr>
        <w:spacing w:after="60"/>
      </w:pPr>
      <w:r>
        <w:rPr>
          <w:b/>
          <w:bCs/>
        </w:rPr>
        <w:t xml:space="preserve">Compare. </w:t>
      </w:r>
      <w:r>
        <w:rPr>
          <w:b w:val="false"/>
          <w:bCs w:val="false"/>
        </w:rPr>
        <w:t xml:space="preserve">Use Visualizations → Comparisons to contrast the content across outlets.</w:t>
      </w:r>
    </w:p>
    <w:p>
      <w:pPr>
        <w:pStyle w:val="ListParagraph"/>
        <w:numPr>
          <w:ilvl w:val="0"/>
          <w:numId w:val="9"/>
        </w:numPr>
        <w:spacing w:after="60"/>
      </w:pPr>
      <w:r>
        <w:rPr>
          <w:b/>
          <w:bCs/>
        </w:rPr>
        <w:t xml:space="preserve">Deliver three slides: </w:t>
      </w:r>
      <w:r>
        <w:rPr>
          <w:b w:val="false"/>
          <w:bCs w:val="false"/>
        </w:rPr>
        <w:t xml:space="preserve">your case, your category tree, and your comparisons. The question your slides must answer: did you find anything interesting and not self-evident?</w:t>
      </w:r>
    </w:p>
    <w:p>
      <w:r>
        <w:br w:type="page"/>
      </w:r>
    </w:p>
    <w:p>
      <w:pPr>
        <w:pStyle w:val="Heading1"/>
        <w:spacing w:after="160" w:before="360"/>
      </w:pPr>
      <w:r>
        <w:t xml:space="preserve">Appendix A — Materials and preparation</w:t>
      </w:r>
    </w:p>
    <w:p>
      <w:pPr>
        <w:pStyle w:val="Heading3"/>
        <w:spacing w:after="100" w:before="220"/>
      </w:pPr>
      <w:r>
        <w:t xml:space="preserve">Session 1</w:t>
      </w:r>
    </w:p>
    <w:p>
      <w:pPr>
        <w:pStyle w:val="ListParagraph"/>
        <w:numPr>
          <w:ilvl w:val="0"/>
          <w:numId w:val="1"/>
        </w:numPr>
        <w:spacing w:after="60"/>
      </w:pPr>
      <w:r>
        <w:rPr>
          <w:b/>
          <w:bCs/>
        </w:rPr>
        <w:t xml:space="preserve">The Armstrong excerpt. </w:t>
      </w:r>
      <w:r>
        <w:rPr>
          <w:b w:val="false"/>
          <w:bCs w:val="false"/>
        </w:rPr>
        <w:t xml:space="preserve">A two-page passage from the Neil Armstrong interview, chosen so that at least some of the self-presentation is implicit rather than stated. Paper printouts are a legitimate choice if the group is uneasy about digital sharing; the exercise works either way.</w:t>
      </w:r>
    </w:p>
    <w:p>
      <w:pPr>
        <w:pStyle w:val="ListParagraph"/>
        <w:numPr>
          <w:ilvl w:val="0"/>
          <w:numId w:val="1"/>
        </w:numPr>
        <w:spacing w:after="60"/>
      </w:pPr>
      <w:r>
        <w:rPr>
          <w:b/>
          <w:bCs/>
        </w:rPr>
        <w:t xml:space="preserve">The AI coding of the same excerpt, </w:t>
      </w:r>
      <w:r>
        <w:rPr>
          <w:b w:val="false"/>
          <w:bCs w:val="false"/>
        </w:rPr>
        <w:t xml:space="preserve">prepared in advance, plus the Fable/Skimle summary generated from the prompt "what personality characteristics Armstrong is projecting/displaying to the audience" — including its omissions, which are the pedagogically useful part.</w:t>
      </w:r>
    </w:p>
    <w:p>
      <w:pPr>
        <w:pStyle w:val="ListParagraph"/>
        <w:numPr>
          <w:ilvl w:val="0"/>
          <w:numId w:val="1"/>
        </w:numPr>
        <w:spacing w:after="60"/>
      </w:pPr>
      <w:r>
        <w:rPr>
          <w:b/>
          <w:bCs/>
        </w:rPr>
        <w:t xml:space="preserve">The large-corpus categories </w:t>
      </w:r>
      <w:r>
        <w:rPr>
          <w:b w:val="false"/>
          <w:bCs w:val="false"/>
        </w:rPr>
        <w:t xml:space="preserve">produced from the full 85-page interview under a character-focused prompt, for the reflection segment.</w:t>
      </w:r>
    </w:p>
    <w:p>
      <w:pPr>
        <w:pStyle w:val="Heading3"/>
        <w:spacing w:after="100" w:before="220"/>
      </w:pPr>
      <w:r>
        <w:t xml:space="preserve">Session 2</w:t>
      </w:r>
    </w:p>
    <w:p>
      <w:pPr>
        <w:pStyle w:val="ListParagraph"/>
        <w:numPr>
          <w:ilvl w:val="0"/>
          <w:numId w:val="1"/>
        </w:numPr>
        <w:spacing w:after="60"/>
      </w:pPr>
      <w:r>
        <w:rPr>
          <w:b/>
          <w:bCs/>
        </w:rPr>
        <w:t xml:space="preserve">Skimle accounts </w:t>
      </w:r>
      <w:r>
        <w:rPr>
          <w:b w:val="false"/>
          <w:bCs w:val="false"/>
        </w:rPr>
        <w:t xml:space="preserve">confirmed working before the session — this is the single most common cause of lost time.</w:t>
      </w:r>
    </w:p>
    <w:p>
      <w:pPr>
        <w:pStyle w:val="ListParagraph"/>
        <w:numPr>
          <w:ilvl w:val="0"/>
          <w:numId w:val="1"/>
        </w:numPr>
        <w:spacing w:after="60"/>
      </w:pPr>
      <w:r>
        <w:rPr>
          <w:b/>
          <w:bCs/>
        </w:rPr>
        <w:t xml:space="preserve">The demo project: </w:t>
      </w:r>
      <w:r>
        <w:rPr>
          <w:b w:val="false"/>
          <w:bCs w:val="false"/>
        </w:rPr>
        <w:t xml:space="preserve">skimle.com → log in → new project → "Try a demo dataset" → Consulting demo: Big trouble at BigBank. Ask participants to do this before class.</w:t>
      </w:r>
    </w:p>
    <w:p>
      <w:pPr>
        <w:pStyle w:val="ListParagraph"/>
        <w:numPr>
          <w:ilvl w:val="0"/>
          <w:numId w:val="1"/>
        </w:numPr>
        <w:spacing w:after="60"/>
      </w:pPr>
      <w:r>
        <w:rPr>
          <w:b/>
          <w:bCs/>
        </w:rPr>
        <w:t xml:space="preserve">An instructor project </w:t>
      </w:r>
      <w:r>
        <w:rPr>
          <w:b w:val="false"/>
          <w:bCs w:val="false"/>
        </w:rPr>
        <w:t xml:space="preserve">with focused coding and at least one Recreate-structure result already run, so you can show finished output while participants' analyses are still queued.</w:t>
      </w:r>
    </w:p>
    <w:p>
      <w:pPr>
        <w:pStyle w:val="ListParagraph"/>
        <w:numPr>
          <w:ilvl w:val="0"/>
          <w:numId w:val="1"/>
        </w:numPr>
        <w:spacing w:after="60"/>
      </w:pPr>
      <w:r>
        <w:rPr>
          <w:b/>
          <w:bCs/>
        </w:rPr>
        <w:t xml:space="preserve">A note on queueing: </w:t>
      </w:r>
      <w:r>
        <w:rPr>
          <w:b w:val="false"/>
          <w:bCs w:val="false"/>
        </w:rPr>
        <w:t xml:space="preserve">parallel analyses queue, so do not have the whole room launch a focused coding run simultaneously.</w:t>
      </w:r>
    </w:p>
    <w:p>
      <w:pPr>
        <w:spacing w:after="120"/>
      </w:pPr>
      <w:r>
        <w:rPr>
          <w:b/>
          <w:bCs/>
          <w:i w:val="false"/>
          <w:iCs w:val="false"/>
        </w:rPr>
        <w:t xml:space="preserve">Substituting your own data. </w:t>
      </w:r>
      <w:r>
        <w:rPr>
          <w:b w:val="false"/>
          <w:bCs w:val="false"/>
          <w:i w:val="false"/>
          <w:iCs w:val="false"/>
        </w:rPr>
        <w:t xml:space="preserve">Both sessions work with a different corpus. Session 1 needs a short passage whose meaning depends on context; Session 2 needs a dataset large enough that comparisons across metadata are meaningful — roughly 15 documents upward — and varied enough that a theoretical restructuring is possible. Where confidentiality prevents sharing real research data, public-domain archival or literary material works well.</w:t>
      </w:r>
    </w:p>
    <w:p>
      <w:pPr>
        <w:pStyle w:val="Heading1"/>
        <w:spacing w:after="160" w:before="360"/>
      </w:pPr>
      <w:r>
        <w:t xml:space="preserve">Appendix B — Sources and further reading</w:t>
      </w:r>
    </w:p>
    <w:p>
      <w:pPr>
        <w:pStyle w:val="ListParagraph"/>
        <w:numPr>
          <w:ilvl w:val="0"/>
          <w:numId w:val="1"/>
        </w:numPr>
        <w:spacing w:after="60"/>
      </w:pPr>
      <w:r>
        <w:rPr>
          <w:b w:val="false"/>
          <w:bCs w:val="false"/>
        </w:rPr>
        <w:t xml:space="preserve">Acemoglu, D. (2026). Keynote address, World Bank ABCDE. And Acemoglu et al. (2026), Building pro-worker artificial intelligence, MIT Economics.</w:t>
      </w:r>
    </w:p>
    <w:p>
      <w:pPr>
        <w:pStyle w:val="ListParagraph"/>
        <w:numPr>
          <w:ilvl w:val="0"/>
          <w:numId w:val="1"/>
        </w:numPr>
        <w:spacing w:after="60"/>
      </w:pPr>
      <w:r>
        <w:rPr>
          <w:b w:val="false"/>
          <w:bCs w:val="false"/>
        </w:rPr>
        <w:t xml:space="preserve">Clark, A., &amp; Chalmers, D. The extended mind.</w:t>
      </w:r>
    </w:p>
    <w:p>
      <w:pPr>
        <w:pStyle w:val="ListParagraph"/>
        <w:numPr>
          <w:ilvl w:val="0"/>
          <w:numId w:val="1"/>
        </w:numPr>
        <w:spacing w:after="60"/>
      </w:pPr>
      <w:r>
        <w:rPr>
          <w:b w:val="false"/>
          <w:bCs w:val="false"/>
        </w:rPr>
        <w:t xml:space="preserve">Cornelissen, J. P. (2026). The Artificial Intelligence Con: The commodification of theory and the new and improved credibility crisis. Organization Studies.</w:t>
      </w:r>
    </w:p>
    <w:p>
      <w:pPr>
        <w:pStyle w:val="ListParagraph"/>
        <w:numPr>
          <w:ilvl w:val="0"/>
          <w:numId w:val="1"/>
        </w:numPr>
        <w:spacing w:after="60"/>
      </w:pPr>
      <w:r>
        <w:rPr>
          <w:b w:val="false"/>
          <w:bCs w:val="false"/>
        </w:rPr>
        <w:t xml:space="preserve">Goodwin, C. Professional vision and objects of knowledge.</w:t>
      </w:r>
    </w:p>
    <w:p>
      <w:pPr>
        <w:pStyle w:val="ListParagraph"/>
        <w:numPr>
          <w:ilvl w:val="0"/>
          <w:numId w:val="1"/>
        </w:numPr>
        <w:spacing w:after="60"/>
      </w:pPr>
      <w:r>
        <w:rPr>
          <w:b w:val="false"/>
          <w:bCs w:val="false"/>
        </w:rPr>
        <w:t xml:space="preserve">Hutchins, E. Cognition in the wild — cognitive artifacts distributed across the workplace.</w:t>
      </w:r>
    </w:p>
    <w:p>
      <w:pPr>
        <w:pStyle w:val="ListParagraph"/>
        <w:numPr>
          <w:ilvl w:val="0"/>
          <w:numId w:val="1"/>
        </w:numPr>
        <w:spacing w:after="60"/>
      </w:pPr>
      <w:r>
        <w:rPr>
          <w:b w:val="false"/>
          <w:bCs w:val="false"/>
        </w:rPr>
        <w:t xml:space="preserve">Knorr Cetina, K. Epistemic objects.</w:t>
      </w:r>
    </w:p>
    <w:p>
      <w:pPr>
        <w:pStyle w:val="ListParagraph"/>
        <w:numPr>
          <w:ilvl w:val="0"/>
          <w:numId w:val="1"/>
        </w:numPr>
        <w:spacing w:after="60"/>
      </w:pPr>
      <w:r>
        <w:rPr>
          <w:b w:val="false"/>
          <w:bCs w:val="false"/>
        </w:rPr>
        <w:t xml:space="preserve">Latour, B., &amp; Woolgar, S. Laboratory life — inscriptions.</w:t>
      </w:r>
    </w:p>
    <w:p>
      <w:pPr>
        <w:pStyle w:val="ListParagraph"/>
        <w:numPr>
          <w:ilvl w:val="0"/>
          <w:numId w:val="1"/>
        </w:numPr>
        <w:spacing w:after="60"/>
      </w:pPr>
      <w:r>
        <w:rPr>
          <w:b w:val="false"/>
          <w:bCs w:val="false"/>
        </w:rPr>
        <w:t xml:space="preserve">Pickering, A. The mangle of practice — knowledge artifacts.</w:t>
      </w:r>
    </w:p>
    <w:p>
      <w:pPr>
        <w:pStyle w:val="ListParagraph"/>
        <w:numPr>
          <w:ilvl w:val="0"/>
          <w:numId w:val="1"/>
        </w:numPr>
        <w:spacing w:after="60"/>
      </w:pPr>
      <w:r>
        <w:rPr>
          <w:b w:val="false"/>
          <w:bCs w:val="false"/>
        </w:rPr>
        <w:t xml:space="preserve">Pratt, M. On power quotes and the presentation of qualitative evidence.</w:t>
      </w:r>
    </w:p>
    <w:p>
      <w:pPr>
        <w:pStyle w:val="ListParagraph"/>
        <w:numPr>
          <w:ilvl w:val="0"/>
          <w:numId w:val="1"/>
        </w:numPr>
        <w:spacing w:after="60"/>
      </w:pPr>
      <w:r>
        <w:rPr>
          <w:b w:val="false"/>
          <w:bCs w:val="false"/>
        </w:rPr>
        <w:t xml:space="preserve">Sacks, O. (2019). The Machine Stops. The New Yorker.</w:t>
      </w:r>
    </w:p>
    <w:p>
      <w:pPr>
        <w:pStyle w:val="ListParagraph"/>
        <w:numPr>
          <w:ilvl w:val="0"/>
          <w:numId w:val="1"/>
        </w:numPr>
        <w:spacing w:after="60"/>
      </w:pPr>
      <w:r>
        <w:rPr>
          <w:b w:val="false"/>
          <w:bCs w:val="false"/>
        </w:rPr>
        <w:t xml:space="preserve">Star, S. L., &amp; Griesemer, J. Boundary objects.</w:t>
      </w:r>
    </w:p>
    <w:p>
      <w:pPr>
        <w:pStyle w:val="ListParagraph"/>
        <w:numPr>
          <w:ilvl w:val="0"/>
          <w:numId w:val="1"/>
        </w:numPr>
        <w:spacing w:after="60"/>
      </w:pPr>
      <w:r>
        <w:rPr>
          <w:b w:val="false"/>
          <w:bCs w:val="false"/>
        </w:rPr>
        <w:t xml:space="preserve">Schildt, H. Qual Methods Session 1 and Session 2 slide decks (2026); Skimle documentation and demo datasets.</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decimal"/>
      <w:lvlText w:val="%1."/>
      <w:lvlJc w:val="start"/>
      <w:pPr>
        <w:ind w:left="576" w:hanging="360"/>
      </w:pPr>
    </w:lvl>
  </w:abstractNum>
  <w:abstractNum w:abstractNumId="3" w15:restartNumberingAfterBreak="0">
    <w:multiLevelType w:val="hybridMultilevel"/>
    <w:lvl w:ilvl="0" w15:tentative="1">
      <w:start w:val="1"/>
      <w:numFmt w:val="decimal"/>
      <w:lvlText w:val="%1."/>
      <w:lvlJc w:val="start"/>
      <w:pPr>
        <w:ind w:left="576" w:hanging="360"/>
      </w:pPr>
    </w:lvl>
  </w:abstractNum>
  <w:abstractNum w:abstractNumId="4" w15:restartNumberingAfterBreak="0">
    <w:multiLevelType w:val="hybridMultilevel"/>
    <w:lvl w:ilvl="0" w15:tentative="1">
      <w:start w:val="1"/>
      <w:numFmt w:val="decimal"/>
      <w:lvlText w:val="%1."/>
      <w:lvlJc w:val="start"/>
      <w:pPr>
        <w:ind w:left="576" w:hanging="360"/>
      </w:pPr>
    </w:lvl>
  </w:abstractNum>
  <w:abstractNum w:abstractNumId="5" w15:restartNumberingAfterBreak="0">
    <w:multiLevelType w:val="hybridMultilevel"/>
    <w:lvl w:ilvl="0" w15:tentative="1">
      <w:start w:val="1"/>
      <w:numFmt w:val="decimal"/>
      <w:lvlText w:val="%1."/>
      <w:lvlJc w:val="start"/>
      <w:pPr>
        <w:ind w:left="576" w:hanging="360"/>
      </w:pPr>
    </w:lvl>
  </w:abstractNum>
  <w:abstractNum w:abstractNumId="6" w15:restartNumberingAfterBreak="0">
    <w:multiLevelType w:val="hybridMultilevel"/>
    <w:lvl w:ilvl="0" w15:tentative="1">
      <w:start w:val="1"/>
      <w:numFmt w:val="decimal"/>
      <w:lvlText w:val="%1."/>
      <w:lvlJc w:val="start"/>
      <w:pPr>
        <w:ind w:left="576" w:hanging="360"/>
      </w:pPr>
    </w:lvl>
  </w:abstractNum>
  <w:abstractNum w:abstractNumId="7" w15:restartNumberingAfterBreak="0">
    <w:multiLevelType w:val="hybridMultilevel"/>
    <w:lvl w:ilvl="0" w15:tentative="1">
      <w:start w:val="1"/>
      <w:numFmt w:val="decimal"/>
      <w:lvlText w:val="%1."/>
      <w:lvlJc w:val="start"/>
      <w:pPr>
        <w:ind w:left="576" w:hanging="360"/>
      </w:pPr>
    </w:lvl>
  </w:abstractNum>
  <w:abstractNum w:abstractNumId="8" w15:restartNumberingAfterBreak="0">
    <w:multiLevelType w:val="hybridMultilevel"/>
    <w:lvl w:ilvl="0" w15:tentative="1">
      <w:start w:val="1"/>
      <w:numFmt w:val="decimal"/>
      <w:lvlText w:val="%1."/>
      <w:lvlJc w:val="start"/>
      <w:pPr>
        <w:ind w:left="576" w:hanging="360"/>
      </w:pPr>
    </w:lvl>
  </w:abstractNum>
  <w:abstractNum w:abstractNumId="9" w15:restartNumberingAfterBreak="0">
    <w:multiLevelType w:val="hybridMultilevel"/>
    <w:lvl w:ilvl="0" w15:tentative="1">
      <w:start w:val="1"/>
      <w:numFmt w:val="decimal"/>
      <w:lvlText w:val="%1."/>
      <w:lvlJc w:val="start"/>
      <w:pPr>
        <w:ind w:left="576"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 w:numId="4">
    <w:abstractNumId w:val="4"/>
    <w:lvlOverride w:ilvl="0">
      <w:startOverride w:val="1"/>
    </w:lvlOverride>
  </w:num>
  <w:num w:numId="5">
    <w:abstractNumId w:val="5"/>
    <w:lvlOverride w:ilvl="0">
      <w:startOverride w:val="1"/>
    </w:lvlOverride>
  </w:num>
  <w:num w:numId="6">
    <w:abstractNumId w:val="6"/>
    <w:lvlOverride w:ilvl="0">
      <w:startOverride w:val="1"/>
    </w:lvlOverride>
  </w:num>
  <w:num w:numId="7">
    <w:abstractNumId w:val="7"/>
    <w:lvlOverride w:ilvl="0">
      <w:startOverride w:val="1"/>
    </w:lvlOverride>
  </w:num>
  <w:num w:numId="8">
    <w:abstractNumId w:val="8"/>
    <w:lvlOverride w:ilvl="0">
      <w:startOverride w:val="1"/>
    </w:lvlOverride>
  </w:num>
  <w:num w:numId="9">
    <w:abstractNumId w:val="9"/>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1"/>
        <w:szCs w:val="21"/>
      </w:rPr>
    </w:rPrDefault>
    <w:pPrDefault>
      <w:pPr>
        <w:spacing w:line="276"/>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spacing w:after="160" w:before="360"/>
    </w:pPr>
    <w:rPr>
      <w:rFonts w:ascii="Cambria" w:cs="Cambria" w:eastAsia="Cambria" w:hAnsi="Cambria"/>
      <w:b/>
      <w:bCs/>
      <w:color w:val="1F3864"/>
      <w:sz w:val="32"/>
      <w:szCs w:val="32"/>
    </w:rPr>
  </w:style>
  <w:style w:type="paragraph" w:styleId="Heading2">
    <w:name w:val="Heading 2"/>
    <w:basedOn w:val="Normal"/>
    <w:next w:val="Normal"/>
    <w:qFormat/>
    <w:pPr>
      <w:spacing w:after="120" w:before="280"/>
    </w:pPr>
    <w:rPr>
      <w:rFonts w:ascii="Cambria" w:cs="Cambria" w:eastAsia="Cambria" w:hAnsi="Cambria"/>
      <w:b/>
      <w:bCs/>
      <w:color w:val="1F3864"/>
      <w:sz w:val="26"/>
      <w:szCs w:val="26"/>
    </w:rPr>
  </w:style>
  <w:style w:type="paragraph" w:styleId="Heading3">
    <w:name w:val="Heading 3"/>
    <w:basedOn w:val="Normal"/>
    <w:next w:val="Normal"/>
    <w:qFormat/>
    <w:pPr>
      <w:spacing w:after="100" w:before="220"/>
    </w:pPr>
    <w:rPr>
      <w:rFonts w:ascii="Cambria" w:cs="Cambria" w:eastAsia="Cambria" w:hAnsi="Cambria"/>
      <w:b/>
      <w:bCs/>
      <w:color w:val="2E4E7E"/>
      <w:sz w:val="23"/>
      <w:szCs w:val="23"/>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2026-08-24T20:23:11.646Z</dcterms:created>
  <dcterms:modified xsi:type="dcterms:W3CDTF">2026-08-24T20:23:11.646Z</dcterms:modified>
</cp:coreProperties>
</file>

<file path=docProps/custom.xml><?xml version="1.0" encoding="utf-8"?>
<Properties xmlns="http://schemas.openxmlformats.org/officeDocument/2006/custom-properties" xmlns:vt="http://schemas.openxmlformats.org/officeDocument/2006/docPropsVTypes"/>
</file>